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6A" w:rsidRDefault="0028126A">
      <w:pPr>
        <w:pStyle w:val="BodyText3"/>
        <w:spacing w:after="180"/>
      </w:pPr>
      <w:r>
        <w:t>Project No.:</w:t>
      </w:r>
      <w:r>
        <w:tab/>
      </w:r>
      <w:r w:rsidR="0027056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u w:val="single"/>
        </w:rPr>
        <w:instrText xml:space="preserve"> FORMTEXT </w:instrText>
      </w:r>
      <w:r w:rsidR="00270564">
        <w:rPr>
          <w:u w:val="single"/>
        </w:rPr>
      </w:r>
      <w:r w:rsidR="0027056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270564">
        <w:rPr>
          <w:u w:val="single"/>
        </w:rPr>
        <w:fldChar w:fldCharType="end"/>
      </w:r>
      <w:bookmarkEnd w:id="0"/>
      <w:r>
        <w:t xml:space="preserve"> - </w:t>
      </w:r>
      <w:r w:rsidR="0027056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270564">
        <w:rPr>
          <w:u w:val="single"/>
        </w:rPr>
      </w:r>
      <w:r w:rsidR="00270564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270564">
        <w:rPr>
          <w:u w:val="single"/>
        </w:rPr>
        <w:fldChar w:fldCharType="end"/>
      </w:r>
    </w:p>
    <w:p w:rsidR="0028126A" w:rsidRDefault="0028126A">
      <w:pPr>
        <w:spacing w:before="180" w:after="180"/>
        <w:rPr>
          <w:sz w:val="22"/>
          <w:u w:val="single"/>
        </w:rPr>
      </w:pPr>
      <w:r>
        <w:rPr>
          <w:sz w:val="22"/>
        </w:rPr>
        <w:t>Project Name:</w:t>
      </w:r>
      <w:r>
        <w:rPr>
          <w:sz w:val="22"/>
        </w:rPr>
        <w:tab/>
      </w:r>
      <w:r w:rsidR="00270564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 w:rsidR="00270564">
        <w:rPr>
          <w:sz w:val="22"/>
          <w:u w:val="single"/>
        </w:rPr>
      </w:r>
      <w:r w:rsidR="00270564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270564">
        <w:rPr>
          <w:sz w:val="22"/>
          <w:u w:val="single"/>
        </w:rPr>
        <w:fldChar w:fldCharType="end"/>
      </w:r>
    </w:p>
    <w:p w:rsidR="0028126A" w:rsidRDefault="0028126A">
      <w:pPr>
        <w:pStyle w:val="Title"/>
        <w:tabs>
          <w:tab w:val="left" w:pos="4320"/>
        </w:tabs>
        <w:spacing w:before="180" w:after="180"/>
        <w:jc w:val="left"/>
        <w:rPr>
          <w:sz w:val="22"/>
        </w:rPr>
      </w:pPr>
      <w:r>
        <w:rPr>
          <w:sz w:val="22"/>
        </w:rPr>
        <w:t xml:space="preserve">     YES NO</w:t>
      </w:r>
      <w:r>
        <w:rPr>
          <w:b w:val="0"/>
          <w:bCs/>
          <w:sz w:val="22"/>
        </w:rPr>
        <w:tab/>
      </w:r>
      <w:r>
        <w:rPr>
          <w:sz w:val="22"/>
        </w:rPr>
        <w:t>General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bookmarkEnd w:id="1"/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bookmarkEnd w:id="2"/>
      <w:r w:rsidR="0028126A">
        <w:rPr>
          <w:noProof/>
          <w:sz w:val="22"/>
        </w:rPr>
        <w:tab/>
      </w:r>
      <w:r w:rsidR="0028126A">
        <w:rPr>
          <w:sz w:val="22"/>
        </w:rPr>
        <w:t>“Project Name</w:t>
      </w:r>
      <w:r w:rsidR="004A4B0A">
        <w:rPr>
          <w:sz w:val="22"/>
        </w:rPr>
        <w:t xml:space="preserve">” </w:t>
      </w:r>
      <w:r w:rsidR="0028126A">
        <w:rPr>
          <w:sz w:val="22"/>
        </w:rPr>
        <w:t>and “Project Manager” are correct.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“Statement No.”, “for the Period ended” and “A/E Agreement Dated” are correct.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“Professional Liability Insurance Policy expiration date” is current.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Includes HUB payment forms Attachment H and/or I from Exhibit H.</w:t>
      </w:r>
    </w:p>
    <w:p w:rsidR="0028082A" w:rsidRDefault="00270564" w:rsidP="0028082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082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082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082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082A">
        <w:rPr>
          <w:noProof/>
          <w:sz w:val="22"/>
        </w:rPr>
        <w:tab/>
        <w:t xml:space="preserve">Invoice has been stamped to show date received by </w:t>
      </w:r>
      <w:r w:rsidR="006B483D">
        <w:rPr>
          <w:noProof/>
          <w:sz w:val="22"/>
        </w:rPr>
        <w:t>Business Services</w:t>
      </w:r>
      <w:r w:rsidR="0028082A">
        <w:rPr>
          <w:noProof/>
          <w:sz w:val="22"/>
        </w:rPr>
        <w:t>.</w:t>
      </w:r>
    </w:p>
    <w:p w:rsidR="0028126A" w:rsidRDefault="0028126A">
      <w:pPr>
        <w:tabs>
          <w:tab w:val="left" w:pos="4050"/>
        </w:tabs>
        <w:spacing w:before="180" w:after="180"/>
        <w:rPr>
          <w:b/>
          <w:bCs/>
          <w:sz w:val="22"/>
        </w:rPr>
      </w:pPr>
    </w:p>
    <w:p w:rsidR="0028126A" w:rsidRDefault="0028126A">
      <w:pPr>
        <w:tabs>
          <w:tab w:val="left" w:pos="4050"/>
        </w:tabs>
        <w:spacing w:before="180" w:after="180"/>
        <w:rPr>
          <w:sz w:val="22"/>
        </w:rPr>
      </w:pPr>
      <w:r>
        <w:rPr>
          <w:b/>
          <w:bCs/>
          <w:sz w:val="22"/>
        </w:rPr>
        <w:t xml:space="preserve">     YES NO </w:t>
      </w:r>
      <w:r>
        <w:rPr>
          <w:b/>
          <w:bCs/>
          <w:sz w:val="22"/>
        </w:rPr>
        <w:tab/>
        <w:t>Basic Services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Is the “Construction Cost Limitation” (CCL) the same as the prior Pay Application? If no, answer question 6.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pict>
          <v:rect id="_x0000_s1258" style="position:absolute;left:0;text-align:left;margin-left:283.05pt;margin-top:11.85pt;width:9pt;height:9pt;z-index:251657728"/>
        </w:pict>
      </w: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Does the CCL reflect the current approved amount? (A/E must attach copy of letter approving increase in CCL.) – Not Applicable </w:t>
      </w:r>
      <w:r w:rsidR="0028126A">
        <w:rPr>
          <w:noProof/>
          <w:sz w:val="22"/>
        </w:rPr>
        <w:tab/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Compensati</w:t>
      </w:r>
      <w:r w:rsidR="006B483D">
        <w:rPr>
          <w:noProof/>
          <w:sz w:val="22"/>
        </w:rPr>
        <w:t>on percentage rate is correct.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Basic Services Fee is correctly calculated (CCL x %)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i/>
          <w:iCs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The percentage complete for each phase of design and/or construction is accurate. 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The “Amount Previously Billed” concurs with the prior billing, including any adjustments. </w:t>
      </w:r>
      <w:r w:rsidR="0028126A">
        <w:rPr>
          <w:i/>
          <w:iCs/>
          <w:noProof/>
          <w:sz w:val="22"/>
        </w:rPr>
        <w:t xml:space="preserve"> </w:t>
      </w:r>
    </w:p>
    <w:p w:rsidR="0028126A" w:rsidRDefault="0028126A">
      <w:pPr>
        <w:tabs>
          <w:tab w:val="left" w:pos="2700"/>
        </w:tabs>
        <w:spacing w:before="180" w:after="180"/>
        <w:rPr>
          <w:b/>
          <w:bCs/>
          <w:sz w:val="22"/>
        </w:rPr>
      </w:pPr>
    </w:p>
    <w:p w:rsidR="0028126A" w:rsidRDefault="0028126A">
      <w:pPr>
        <w:tabs>
          <w:tab w:val="left" w:pos="2700"/>
        </w:tabs>
        <w:spacing w:before="180" w:after="180"/>
        <w:rPr>
          <w:sz w:val="22"/>
        </w:rPr>
      </w:pPr>
      <w:r>
        <w:rPr>
          <w:b/>
          <w:bCs/>
          <w:sz w:val="22"/>
        </w:rPr>
        <w:t xml:space="preserve">     YES NO </w:t>
      </w:r>
      <w:r>
        <w:rPr>
          <w:b/>
          <w:bCs/>
          <w:sz w:val="22"/>
        </w:rPr>
        <w:tab/>
        <w:t>Additional Services &amp; Change Order Services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All executed Additional Service and/or Change Order Service has been listed by Additional Service Request number and/or Change Order number (on application or attached)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All “Additional Service Requests” and “Change Order Services” have been executed and the amounts indicated are correct.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If “Additional Service Request” is not a Lump Sum, than all required supplemental material is included; including a tabulation of hourly compensation by name, hours, and pay rate by the firm and/or consultants.</w:t>
      </w:r>
    </w:p>
    <w:p w:rsidR="0028126A" w:rsidRDefault="0028126A">
      <w:pPr>
        <w:tabs>
          <w:tab w:val="num" w:pos="720"/>
          <w:tab w:val="left" w:pos="3600"/>
        </w:tabs>
        <w:spacing w:before="180" w:after="180"/>
        <w:rPr>
          <w:b/>
          <w:bCs/>
          <w:sz w:val="22"/>
        </w:rPr>
      </w:pPr>
    </w:p>
    <w:p w:rsidR="0028126A" w:rsidRDefault="0028126A">
      <w:pPr>
        <w:tabs>
          <w:tab w:val="num" w:pos="720"/>
          <w:tab w:val="left" w:pos="3600"/>
        </w:tabs>
        <w:spacing w:before="180" w:after="180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     YES NO </w:t>
      </w:r>
      <w:r>
        <w:rPr>
          <w:b/>
          <w:bCs/>
          <w:sz w:val="22"/>
        </w:rPr>
        <w:tab/>
        <w:t>Reimbursable Expenses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Expenses for travel within in the State of </w:t>
      </w:r>
      <w:smartTag w:uri="urn:schemas-microsoft-com:office:smarttags" w:element="State">
        <w:r w:rsidR="0028126A">
          <w:rPr>
            <w:noProof/>
            <w:sz w:val="22"/>
          </w:rPr>
          <w:t>Texas</w:t>
        </w:r>
      </w:smartTag>
      <w:r w:rsidR="0028126A">
        <w:rPr>
          <w:noProof/>
          <w:sz w:val="22"/>
        </w:rPr>
        <w:t xml:space="preserve"> are excluded if the principal address of the A/E firm is within </w:t>
      </w:r>
      <w:smartTag w:uri="urn:schemas-microsoft-com:office:smarttags" w:element="State">
        <w:smartTag w:uri="urn:schemas-microsoft-com:office:smarttags" w:element="place">
          <w:r w:rsidR="0028126A">
            <w:rPr>
              <w:noProof/>
              <w:sz w:val="22"/>
            </w:rPr>
            <w:t>Texas</w:t>
          </w:r>
        </w:smartTag>
      </w:smartTag>
      <w:r w:rsidR="0028126A">
        <w:rPr>
          <w:noProof/>
          <w:sz w:val="22"/>
        </w:rPr>
        <w:t>.  This includes mileage, lodging and meals.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are listed in an itemized summary and all receipts/invoices are attached (credit card statements are not sufficient).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Travel expense limits from Texas to an Out-of-State location has been verified at the website-</w:t>
      </w:r>
      <w:hyperlink r:id="rId8" w:history="1">
        <w:r w:rsidR="0028126A">
          <w:rPr>
            <w:i/>
            <w:iCs/>
            <w:noProof/>
            <w:sz w:val="22"/>
          </w:rPr>
          <w:t>www.window.state.tx.us/comptrol/san/fm.notices.date.html/fm97/fm97-38a.html</w:t>
        </w:r>
      </w:hyperlink>
      <w:r w:rsidR="0028126A">
        <w:rPr>
          <w:noProof/>
          <w:sz w:val="22"/>
        </w:rPr>
        <w:t xml:space="preserve"> and meals are less than or equal to the out-of-state rate and the lodging amounts are less than or equal to 40% above the out-of-state rate.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Automobile rental expenses are for moderate sized cars or smaller.  (Related charges such as rental insurance, gasoline, parking, taxi services, and taxes may be reimbursed.)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Airline travel expenses are for coach class with rates near the state contract (web-site http://www.gsc.state.tx.us/travel/index.html).  Airline travel and reservations were made at least seven (7) days prior to the departure date, unless specifically authorized otherwise.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Invoices do not include any mark-up on meals, lodging, airline, automobile and related travel expenses.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All expenses for shipping or mailing are directly related to the project.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for reproductions and printing have been specifically requested by the Owner.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excludes additional insurance coverage or limits not approved by the Owner.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excludes telephone charges or fax services.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excludes alcoholic beverages, laundry, valet service, entertainment.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Expenses exclude invoices billed or paid for on a previous pay application.</w:t>
      </w:r>
    </w:p>
    <w:p w:rsidR="0028126A" w:rsidRDefault="0028126A">
      <w:pPr>
        <w:pStyle w:val="Heading3"/>
        <w:tabs>
          <w:tab w:val="left" w:pos="4140"/>
        </w:tabs>
        <w:spacing w:before="180" w:after="180"/>
        <w:jc w:val="left"/>
        <w:rPr>
          <w:sz w:val="22"/>
        </w:rPr>
      </w:pPr>
    </w:p>
    <w:p w:rsidR="0028126A" w:rsidRDefault="0028126A">
      <w:pPr>
        <w:pStyle w:val="Heading3"/>
        <w:tabs>
          <w:tab w:val="left" w:pos="4140"/>
        </w:tabs>
        <w:spacing w:before="180" w:after="180"/>
        <w:jc w:val="left"/>
        <w:rPr>
          <w:bCs/>
          <w:sz w:val="22"/>
        </w:rPr>
      </w:pPr>
      <w:r>
        <w:rPr>
          <w:sz w:val="22"/>
        </w:rPr>
        <w:t xml:space="preserve">     YES NO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  <w:t>Recapitulation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 “Net Amounts Due” and “Total to Date” are correct in all sections of Recapitulation and in line with totals on the first page.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 xml:space="preserve">The “Total Amount Previously Billed” concurs with the prior billing, including any adjustments.  </w:t>
      </w:r>
    </w:p>
    <w:p w:rsidR="0028126A" w:rsidRDefault="00270564" w:rsidP="0028126A">
      <w:pPr>
        <w:numPr>
          <w:ilvl w:val="0"/>
          <w:numId w:val="1"/>
        </w:numPr>
        <w:tabs>
          <w:tab w:val="num" w:pos="720"/>
        </w:tabs>
        <w:spacing w:before="180" w:after="180"/>
        <w:ind w:left="1260" w:hanging="1260"/>
        <w:jc w:val="both"/>
        <w:rPr>
          <w:noProof/>
          <w:sz w:val="22"/>
        </w:rPr>
      </w:pPr>
      <w:r>
        <w:rPr>
          <w:noProof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</w:r>
      <w:r>
        <w:rPr>
          <w:noProof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26A">
        <w:rPr>
          <w:noProof/>
          <w:sz w:val="22"/>
        </w:rPr>
        <w:instrText xml:space="preserve"> FORMCHECKBOX </w:instrText>
      </w:r>
      <w:r>
        <w:rPr>
          <w:noProof/>
          <w:sz w:val="22"/>
        </w:rPr>
      </w:r>
      <w:r>
        <w:rPr>
          <w:noProof/>
          <w:sz w:val="22"/>
        </w:rPr>
        <w:fldChar w:fldCharType="end"/>
      </w:r>
      <w:r w:rsidR="0028126A">
        <w:rPr>
          <w:noProof/>
          <w:sz w:val="22"/>
        </w:rPr>
        <w:tab/>
        <w:t>The invoice is signed by an authorized office of the firm.</w:t>
      </w:r>
    </w:p>
    <w:p w:rsidR="0028126A" w:rsidRDefault="0028126A">
      <w:pPr>
        <w:spacing w:before="180" w:after="180"/>
        <w:jc w:val="both"/>
        <w:rPr>
          <w:noProof/>
          <w:sz w:val="22"/>
        </w:rPr>
      </w:pPr>
    </w:p>
    <w:p w:rsidR="0028126A" w:rsidRDefault="0028126A">
      <w:pPr>
        <w:spacing w:before="180" w:after="180"/>
        <w:jc w:val="both"/>
        <w:rPr>
          <w:sz w:val="22"/>
        </w:rPr>
      </w:pPr>
      <w:r>
        <w:rPr>
          <w:noProof/>
          <w:sz w:val="22"/>
        </w:rPr>
        <w:lastRenderedPageBreak/>
        <w:t xml:space="preserve">If the PM has checked any boxes on the checklist “NO”, the PM shall contact </w:t>
      </w:r>
      <w:r w:rsidR="006B483D">
        <w:rPr>
          <w:noProof/>
          <w:sz w:val="22"/>
        </w:rPr>
        <w:t>Business Services</w:t>
      </w:r>
      <w:r>
        <w:rPr>
          <w:noProof/>
          <w:sz w:val="22"/>
        </w:rPr>
        <w:t xml:space="preserve"> to discuss resolution prior to forwarding</w:t>
      </w:r>
      <w:r w:rsidR="006B483D">
        <w:rPr>
          <w:noProof/>
          <w:sz w:val="22"/>
        </w:rPr>
        <w:t>.</w:t>
      </w:r>
      <w:r>
        <w:rPr>
          <w:noProof/>
          <w:sz w:val="22"/>
        </w:rPr>
        <w:t>.</w:t>
      </w:r>
    </w:p>
    <w:p w:rsidR="0028126A" w:rsidRDefault="0028126A">
      <w:pPr>
        <w:rPr>
          <w:i/>
          <w:iCs/>
          <w:sz w:val="22"/>
        </w:rPr>
      </w:pPr>
      <w:r>
        <w:rPr>
          <w:sz w:val="22"/>
        </w:rPr>
        <w:t>Completed By:</w:t>
      </w:r>
      <w:r>
        <w:rPr>
          <w:sz w:val="22"/>
        </w:rPr>
        <w:tab/>
      </w:r>
      <w:r>
        <w:rPr>
          <w:sz w:val="22"/>
        </w:rPr>
        <w:tab/>
      </w:r>
      <w:r w:rsidR="00270564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2"/>
          <w:u w:val="single"/>
        </w:rPr>
        <w:instrText xml:space="preserve"> FORMTEXT </w:instrText>
      </w:r>
      <w:r w:rsidR="00270564">
        <w:rPr>
          <w:sz w:val="22"/>
          <w:u w:val="single"/>
        </w:rPr>
      </w:r>
      <w:r w:rsidR="00270564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270564">
        <w:rPr>
          <w:sz w:val="22"/>
          <w:u w:val="single"/>
        </w:rPr>
        <w:fldChar w:fldCharType="end"/>
      </w:r>
      <w:bookmarkEnd w:id="3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  <w:r>
        <w:rPr>
          <w:sz w:val="22"/>
        </w:rPr>
        <w:tab/>
      </w:r>
      <w:r w:rsidR="00270564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u w:val="single"/>
        </w:rPr>
        <w:instrText xml:space="preserve"> FORMTEXT </w:instrText>
      </w:r>
      <w:r w:rsidR="00270564">
        <w:rPr>
          <w:sz w:val="22"/>
          <w:u w:val="single"/>
        </w:rPr>
      </w:r>
      <w:r w:rsidR="00270564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270564">
        <w:rPr>
          <w:sz w:val="22"/>
          <w:u w:val="single"/>
        </w:rPr>
        <w:fldChar w:fldCharType="end"/>
      </w:r>
      <w:bookmarkEnd w:id="4"/>
      <w:r>
        <w:rPr>
          <w:sz w:val="22"/>
        </w:rPr>
        <w:tab/>
      </w:r>
    </w:p>
    <w:p w:rsidR="0028126A" w:rsidRDefault="0028126A">
      <w:pPr>
        <w:pStyle w:val="BodyText"/>
        <w:tabs>
          <w:tab w:val="left" w:pos="360"/>
          <w:tab w:val="left" w:pos="720"/>
          <w:tab w:val="left" w:pos="900"/>
          <w:tab w:val="left" w:pos="1260"/>
          <w:tab w:val="left" w:pos="1440"/>
          <w:tab w:val="left" w:pos="1800"/>
          <w:tab w:val="left" w:pos="2160"/>
        </w:tabs>
        <w:ind w:left="2160" w:hanging="2160"/>
        <w:jc w:val="both"/>
        <w:rPr>
          <w:i/>
          <w:iCs/>
          <w:sz w:val="22"/>
        </w:rPr>
      </w:pPr>
    </w:p>
    <w:p w:rsidR="0028126A" w:rsidRDefault="0028126A">
      <w:pPr>
        <w:rPr>
          <w:sz w:val="16"/>
        </w:rPr>
      </w:pPr>
      <w:r>
        <w:rPr>
          <w:sz w:val="22"/>
        </w:rPr>
        <w:t xml:space="preserve">Contract </w:t>
      </w:r>
      <w:r w:rsidR="00F90523">
        <w:rPr>
          <w:sz w:val="22"/>
        </w:rPr>
        <w:t>Specialist</w:t>
      </w:r>
      <w:r>
        <w:rPr>
          <w:sz w:val="22"/>
        </w:rPr>
        <w:t>:</w:t>
      </w:r>
      <w:r>
        <w:rPr>
          <w:sz w:val="22"/>
        </w:rPr>
        <w:tab/>
      </w:r>
      <w:r w:rsidR="00270564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 w:rsidR="00270564">
        <w:rPr>
          <w:sz w:val="22"/>
          <w:u w:val="single"/>
        </w:rPr>
      </w:r>
      <w:r w:rsidR="00270564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270564">
        <w:rPr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  <w:r>
        <w:rPr>
          <w:sz w:val="22"/>
        </w:rPr>
        <w:tab/>
      </w:r>
      <w:r w:rsidR="00270564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 w:rsidR="00270564">
        <w:rPr>
          <w:sz w:val="22"/>
          <w:u w:val="single"/>
        </w:rPr>
      </w:r>
      <w:r w:rsidR="00270564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="00270564">
        <w:rPr>
          <w:sz w:val="22"/>
          <w:u w:val="single"/>
        </w:rPr>
        <w:fldChar w:fldCharType="end"/>
      </w:r>
    </w:p>
    <w:sectPr w:rsidR="0028126A" w:rsidSect="00270564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440" w:right="1440" w:bottom="1008" w:left="1440" w:header="720" w:footer="4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70" w:rsidRDefault="00226270">
      <w:r>
        <w:separator/>
      </w:r>
    </w:p>
  </w:endnote>
  <w:endnote w:type="continuationSeparator" w:id="0">
    <w:p w:rsidR="00226270" w:rsidRDefault="0022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3D" w:rsidRDefault="006B483D">
    <w:pPr>
      <w:pStyle w:val="Footer"/>
    </w:pPr>
    <w:r>
      <w:t xml:space="preserve">Step 2 SD 27 </w:t>
    </w:r>
  </w:p>
  <w:p w:rsidR="0028126A" w:rsidRPr="00A91CB7" w:rsidRDefault="0028126A" w:rsidP="00A91CB7">
    <w:pPr>
      <w:pStyle w:val="Footer"/>
      <w:tabs>
        <w:tab w:val="clear" w:pos="8640"/>
        <w:tab w:val="right" w:pos="9360"/>
      </w:tabs>
      <w:rPr>
        <w:i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6A" w:rsidRDefault="0028126A">
    <w:pPr>
      <w:pStyle w:val="Footer"/>
      <w:jc w:val="right"/>
      <w:rPr>
        <w:i/>
        <w:iCs/>
        <w:sz w:val="16"/>
      </w:rPr>
    </w:pPr>
    <w:r>
      <w:rPr>
        <w:i/>
        <w:iCs/>
        <w:sz w:val="16"/>
      </w:rPr>
      <w:t>DECEMBER 5, 2003 REVISION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70" w:rsidRDefault="00226270">
      <w:r>
        <w:separator/>
      </w:r>
    </w:p>
  </w:footnote>
  <w:footnote w:type="continuationSeparator" w:id="0">
    <w:p w:rsidR="00226270" w:rsidRDefault="0022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3D" w:rsidRDefault="006B483D">
    <w:pPr>
      <w:pStyle w:val="Header"/>
      <w:rPr>
        <w:b/>
        <w:bCs/>
        <w:sz w:val="32"/>
      </w:rPr>
    </w:pPr>
  </w:p>
  <w:p w:rsidR="006B483D" w:rsidRDefault="006B483D">
    <w:pPr>
      <w:pStyle w:val="Header"/>
      <w:rPr>
        <w:b/>
        <w:bCs/>
        <w:sz w:val="32"/>
      </w:rPr>
    </w:pPr>
    <w:r>
      <w:rPr>
        <w:b/>
        <w:noProof/>
        <w:sz w:val="32"/>
      </w:rPr>
      <w:drawing>
        <wp:inline distT="0" distB="0" distL="0" distR="0">
          <wp:extent cx="1724025" cy="657225"/>
          <wp:effectExtent l="19050" t="0" r="9525" b="0"/>
          <wp:docPr id="1" name="Picture 0" descr="UHandYATP01-s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HandYATP01-sm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83D" w:rsidRDefault="006B483D">
    <w:pPr>
      <w:pStyle w:val="Header"/>
      <w:rPr>
        <w:b/>
        <w:bCs/>
        <w:sz w:val="32"/>
      </w:rPr>
    </w:pPr>
  </w:p>
  <w:p w:rsidR="0028126A" w:rsidRDefault="00B84493">
    <w:pPr>
      <w:pStyle w:val="Header"/>
      <w:rPr>
        <w:b/>
        <w:bCs/>
        <w:sz w:val="32"/>
      </w:rPr>
    </w:pPr>
    <w:r>
      <w:rPr>
        <w:b/>
        <w:bCs/>
        <w:sz w:val="32"/>
      </w:rPr>
      <w:t xml:space="preserve">MONTHLY </w:t>
    </w:r>
    <w:r w:rsidR="0028126A">
      <w:rPr>
        <w:b/>
        <w:bCs/>
        <w:sz w:val="32"/>
      </w:rPr>
      <w:t>A/E PAY APPLICATION CHECKLIST</w:t>
    </w:r>
  </w:p>
  <w:p w:rsidR="003A16C1" w:rsidRDefault="003A16C1">
    <w:pPr>
      <w:pStyle w:val="Header"/>
      <w:rPr>
        <w:b/>
        <w:bCs/>
        <w:sz w:val="32"/>
      </w:rPr>
    </w:pPr>
  </w:p>
  <w:p w:rsidR="0028126A" w:rsidRDefault="0028126A">
    <w:pPr>
      <w:pStyle w:val="Header"/>
      <w:rPr>
        <w:sz w:val="22"/>
      </w:rPr>
    </w:pPr>
    <w:r>
      <w:rPr>
        <w:sz w:val="22"/>
      </w:rPr>
      <w:t xml:space="preserve">To be completed by the Project Manager prior to sending </w:t>
    </w:r>
    <w:r w:rsidR="006B483D">
      <w:rPr>
        <w:sz w:val="22"/>
      </w:rPr>
      <w:t>Business Services</w:t>
    </w:r>
    <w:r w:rsidR="003A16C1">
      <w:rPr>
        <w:sz w:val="22"/>
      </w:rPr>
      <w:t xml:space="preserve"> for processing</w:t>
    </w:r>
  </w:p>
  <w:p w:rsidR="0028126A" w:rsidRDefault="0028126A">
    <w:pPr>
      <w:pStyle w:val="Header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5FBB"/>
    <w:multiLevelType w:val="hybridMultilevel"/>
    <w:tmpl w:val="899A76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enu v:ext="edit" fillcolor="white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16C1"/>
    <w:rsid w:val="000C60E3"/>
    <w:rsid w:val="0011681D"/>
    <w:rsid w:val="00226270"/>
    <w:rsid w:val="00236C7C"/>
    <w:rsid w:val="00270564"/>
    <w:rsid w:val="0028082A"/>
    <w:rsid w:val="0028126A"/>
    <w:rsid w:val="00354AF9"/>
    <w:rsid w:val="0039483A"/>
    <w:rsid w:val="003A16C1"/>
    <w:rsid w:val="004A4B0A"/>
    <w:rsid w:val="00694090"/>
    <w:rsid w:val="006B483D"/>
    <w:rsid w:val="00756D1C"/>
    <w:rsid w:val="00A91CB7"/>
    <w:rsid w:val="00AC3B06"/>
    <w:rsid w:val="00B84493"/>
    <w:rsid w:val="00D45041"/>
    <w:rsid w:val="00DA4D7F"/>
    <w:rsid w:val="00ED32C1"/>
    <w:rsid w:val="00F90523"/>
    <w:rsid w:val="00F9498A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1">
      <o:colormenu v:ext="edit" fillcolor="whit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564"/>
    <w:rPr>
      <w:sz w:val="24"/>
    </w:rPr>
  </w:style>
  <w:style w:type="paragraph" w:styleId="Heading1">
    <w:name w:val="heading 1"/>
    <w:basedOn w:val="Normal"/>
    <w:next w:val="Normal"/>
    <w:qFormat/>
    <w:rsid w:val="0027056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70564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27056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7056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70564"/>
    <w:pPr>
      <w:keepNext/>
      <w:outlineLvl w:val="4"/>
    </w:pPr>
  </w:style>
  <w:style w:type="paragraph" w:styleId="Heading6">
    <w:name w:val="heading 6"/>
    <w:basedOn w:val="Normal"/>
    <w:next w:val="Normal"/>
    <w:qFormat/>
    <w:rsid w:val="00270564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270564"/>
    <w:pPr>
      <w:keepNext/>
      <w:jc w:val="both"/>
      <w:outlineLvl w:val="6"/>
    </w:pPr>
  </w:style>
  <w:style w:type="paragraph" w:styleId="Heading8">
    <w:name w:val="heading 8"/>
    <w:basedOn w:val="Normal"/>
    <w:next w:val="Normal"/>
    <w:qFormat/>
    <w:rsid w:val="00270564"/>
    <w:pPr>
      <w:keepNext/>
      <w:ind w:left="108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70564"/>
    <w:pPr>
      <w:keepNext/>
      <w:tabs>
        <w:tab w:val="left" w:pos="0"/>
        <w:tab w:val="left" w:pos="1080"/>
      </w:tabs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0564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70564"/>
    <w:pPr>
      <w:jc w:val="center"/>
    </w:pPr>
    <w:rPr>
      <w:i/>
      <w:sz w:val="22"/>
    </w:rPr>
  </w:style>
  <w:style w:type="paragraph" w:styleId="BodyText">
    <w:name w:val="Body Text"/>
    <w:basedOn w:val="Normal"/>
    <w:rsid w:val="00270564"/>
  </w:style>
  <w:style w:type="paragraph" w:styleId="Header">
    <w:name w:val="header"/>
    <w:basedOn w:val="Normal"/>
    <w:rsid w:val="00270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56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70564"/>
    <w:pPr>
      <w:autoSpaceDE w:val="0"/>
      <w:autoSpaceDN w:val="0"/>
      <w:adjustRightInd w:val="0"/>
      <w:ind w:left="720"/>
    </w:pPr>
    <w:rPr>
      <w:noProof/>
      <w:szCs w:val="14"/>
    </w:rPr>
  </w:style>
  <w:style w:type="paragraph" w:styleId="TOC3">
    <w:name w:val="toc 3"/>
    <w:basedOn w:val="Normal"/>
    <w:next w:val="Normal"/>
    <w:semiHidden/>
    <w:rsid w:val="00270564"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 New" w:hAnsi="Courier New"/>
    </w:rPr>
  </w:style>
  <w:style w:type="paragraph" w:styleId="TOAHeading">
    <w:name w:val="toa heading"/>
    <w:basedOn w:val="Normal"/>
    <w:next w:val="Normal"/>
    <w:semiHidden/>
    <w:rsid w:val="00270564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TOC4">
    <w:name w:val="toc 4"/>
    <w:basedOn w:val="Normal"/>
    <w:next w:val="Normal"/>
    <w:semiHidden/>
    <w:rsid w:val="00270564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 New" w:hAnsi="Courier New"/>
    </w:rPr>
  </w:style>
  <w:style w:type="character" w:styleId="PageNumber">
    <w:name w:val="page number"/>
    <w:basedOn w:val="DefaultParagraphFont"/>
    <w:rsid w:val="00270564"/>
  </w:style>
  <w:style w:type="character" w:styleId="FollowedHyperlink">
    <w:name w:val="FollowedHyperlink"/>
    <w:basedOn w:val="DefaultParagraphFont"/>
    <w:rsid w:val="00270564"/>
    <w:rPr>
      <w:color w:val="800080"/>
      <w:u w:val="single"/>
    </w:rPr>
  </w:style>
  <w:style w:type="character" w:styleId="Hyperlink">
    <w:name w:val="Hyperlink"/>
    <w:basedOn w:val="DefaultParagraphFont"/>
    <w:rsid w:val="00270564"/>
    <w:rPr>
      <w:color w:val="0000FF"/>
      <w:u w:val="single"/>
    </w:rPr>
  </w:style>
  <w:style w:type="paragraph" w:styleId="BodyText2">
    <w:name w:val="Body Text 2"/>
    <w:basedOn w:val="Normal"/>
    <w:rsid w:val="00270564"/>
    <w:pPr>
      <w:tabs>
        <w:tab w:val="left" w:pos="360"/>
        <w:tab w:val="left" w:pos="900"/>
      </w:tabs>
      <w:jc w:val="both"/>
    </w:pPr>
    <w:rPr>
      <w:noProof/>
      <w:sz w:val="22"/>
    </w:rPr>
  </w:style>
  <w:style w:type="paragraph" w:styleId="BodyText3">
    <w:name w:val="Body Text 3"/>
    <w:basedOn w:val="Normal"/>
    <w:rsid w:val="00270564"/>
    <w:rPr>
      <w:sz w:val="22"/>
    </w:rPr>
  </w:style>
  <w:style w:type="paragraph" w:styleId="BalloonText">
    <w:name w:val="Balloon Text"/>
    <w:basedOn w:val="Normal"/>
    <w:semiHidden/>
    <w:rsid w:val="002808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483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state.tx.us/comptrol/san/fm.notices.date.html/fm97/fm97-38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FF06-D9AF-477A-8D29-B37E9DE9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Guidelines</vt:lpstr>
    </vt:vector>
  </TitlesOfParts>
  <Company>OFPC</Company>
  <LinksUpToDate>false</LinksUpToDate>
  <CharactersWithSpaces>4901</CharactersWithSpaces>
  <SharedDoc>false</SharedDoc>
  <HLinks>
    <vt:vector size="6" baseType="variant">
      <vt:variant>
        <vt:i4>7209020</vt:i4>
      </vt:variant>
      <vt:variant>
        <vt:i4>81</vt:i4>
      </vt:variant>
      <vt:variant>
        <vt:i4>0</vt:i4>
      </vt:variant>
      <vt:variant>
        <vt:i4>5</vt:i4>
      </vt:variant>
      <vt:variant>
        <vt:lpwstr>http://www.window.state.tx.us/comptrol/san/fm.notices.date.html/fm97/fm97-38a.html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Guidelines</dc:title>
  <dc:subject/>
  <dc:creator>Eric Short</dc:creator>
  <cp:keywords/>
  <dc:description/>
  <cp:lastModifiedBy>Broaddus &amp; Associates</cp:lastModifiedBy>
  <cp:revision>2</cp:revision>
  <cp:lastPrinted>2003-04-24T16:59:00Z</cp:lastPrinted>
  <dcterms:created xsi:type="dcterms:W3CDTF">2011-04-06T15:51:00Z</dcterms:created>
  <dcterms:modified xsi:type="dcterms:W3CDTF">2011-04-06T15:51:00Z</dcterms:modified>
</cp:coreProperties>
</file>