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8A" w:rsidRPr="00976542" w:rsidRDefault="00AB6263" w:rsidP="00976542">
      <w:pPr>
        <w:pStyle w:val="PlainText"/>
        <w:spacing w:after="120"/>
        <w:ind w:left="720"/>
        <w:rPr>
          <w:rFonts w:ascii="Arial" w:hAnsi="Arial" w:cs="Arial"/>
          <w:b/>
          <w:sz w:val="22"/>
          <w:szCs w:val="18"/>
        </w:rPr>
      </w:pPr>
      <w:r w:rsidRPr="00976542">
        <w:rPr>
          <w:rFonts w:ascii="Arial" w:hAnsi="Arial" w:cs="Arial"/>
          <w:b/>
          <w:sz w:val="22"/>
          <w:szCs w:val="18"/>
        </w:rPr>
        <w:t xml:space="preserve">SECTION </w:t>
      </w:r>
      <w:r w:rsidR="00F71A83">
        <w:rPr>
          <w:rFonts w:ascii="Arial" w:hAnsi="Arial" w:cs="Arial"/>
          <w:b/>
          <w:sz w:val="22"/>
          <w:szCs w:val="18"/>
        </w:rPr>
        <w:t>2</w:t>
      </w:r>
      <w:r w:rsidRPr="00976542">
        <w:rPr>
          <w:rFonts w:ascii="Arial" w:hAnsi="Arial" w:cs="Arial"/>
          <w:b/>
          <w:sz w:val="22"/>
          <w:szCs w:val="18"/>
        </w:rPr>
        <w:t>6</w:t>
      </w:r>
      <w:r w:rsidR="00045F8A" w:rsidRPr="00976542">
        <w:rPr>
          <w:rFonts w:ascii="Arial" w:hAnsi="Arial" w:cs="Arial"/>
          <w:b/>
          <w:sz w:val="22"/>
          <w:szCs w:val="18"/>
        </w:rPr>
        <w:t xml:space="preserve"> 13 00</w:t>
      </w:r>
      <w:r w:rsidR="00976542" w:rsidRPr="00976542">
        <w:rPr>
          <w:rFonts w:ascii="Arial" w:hAnsi="Arial" w:cs="Arial"/>
          <w:b/>
          <w:sz w:val="22"/>
          <w:szCs w:val="18"/>
        </w:rPr>
        <w:t xml:space="preserve"> - </w:t>
      </w:r>
      <w:r w:rsidR="00ED768A" w:rsidRPr="00976542">
        <w:rPr>
          <w:rFonts w:ascii="Arial" w:hAnsi="Arial" w:cs="Arial"/>
          <w:b/>
          <w:sz w:val="22"/>
          <w:szCs w:val="18"/>
        </w:rPr>
        <w:t>15 KV LOAD INTERRUPTER SWITCHES</w:t>
      </w:r>
    </w:p>
    <w:p w:rsidR="00ED768A" w:rsidRPr="00976542" w:rsidRDefault="00ED768A" w:rsidP="00976542">
      <w:pPr>
        <w:pStyle w:val="PlainText"/>
        <w:spacing w:after="120"/>
        <w:ind w:left="720"/>
        <w:rPr>
          <w:rFonts w:ascii="Arial" w:hAnsi="Arial" w:cs="Arial"/>
          <w:b/>
          <w:sz w:val="22"/>
          <w:szCs w:val="18"/>
        </w:rPr>
      </w:pPr>
      <w:r w:rsidRPr="00976542">
        <w:rPr>
          <w:rFonts w:ascii="Arial" w:hAnsi="Arial" w:cs="Arial"/>
          <w:b/>
          <w:sz w:val="22"/>
          <w:szCs w:val="18"/>
        </w:rPr>
        <w:t>PART 1 - GENERAL</w:t>
      </w:r>
    </w:p>
    <w:p w:rsidR="00ED768A" w:rsidRPr="00976542" w:rsidRDefault="00ED768A" w:rsidP="00976542">
      <w:pPr>
        <w:pStyle w:val="Heading1"/>
      </w:pPr>
      <w:r w:rsidRPr="00976542">
        <w:t>RELATED DOCUMENTS:</w:t>
      </w:r>
    </w:p>
    <w:p w:rsidR="00ED768A" w:rsidRPr="00976542" w:rsidRDefault="00ED768A" w:rsidP="00494492">
      <w:pPr>
        <w:pStyle w:val="Heading4"/>
      </w:pPr>
      <w:r w:rsidRPr="00494492">
        <w:t>The</w:t>
      </w:r>
      <w:r w:rsidRPr="00976542">
        <w:t xml:space="preserve"> Conditions of the Contract and applicable requirements of Division 1, "General Requirements", and Section 16002, "Electrical General Provisions", govern this Section.</w:t>
      </w:r>
    </w:p>
    <w:p w:rsidR="00ED768A" w:rsidRPr="00A2411C" w:rsidRDefault="00ED768A" w:rsidP="00976542">
      <w:pPr>
        <w:pStyle w:val="Heading1"/>
      </w:pPr>
      <w:r w:rsidRPr="00A2411C">
        <w:t>DESCRIPTION OF WORK:</w:t>
      </w:r>
    </w:p>
    <w:p w:rsidR="00ED768A" w:rsidRPr="00045F8A" w:rsidRDefault="00ED768A" w:rsidP="00494492">
      <w:pPr>
        <w:pStyle w:val="Heading4"/>
        <w:numPr>
          <w:ilvl w:val="3"/>
          <w:numId w:val="31"/>
        </w:numPr>
        <w:ind w:left="720" w:hanging="540"/>
      </w:pPr>
      <w:r w:rsidRPr="00045F8A">
        <w:t>Work Included:  Provide 15 kV load interrupter switch work as shown, scheduled, indicated, and as specified.</w:t>
      </w:r>
    </w:p>
    <w:p w:rsidR="00ED768A" w:rsidRPr="00A2411C" w:rsidRDefault="00ED768A" w:rsidP="00976542">
      <w:pPr>
        <w:pStyle w:val="Heading1"/>
      </w:pPr>
      <w:r w:rsidRPr="00A2411C">
        <w:t>STANDARDS:</w:t>
      </w:r>
    </w:p>
    <w:p w:rsidR="00ED768A" w:rsidRPr="00045F8A" w:rsidRDefault="00ED768A" w:rsidP="00494492">
      <w:pPr>
        <w:pStyle w:val="Heading4"/>
        <w:numPr>
          <w:ilvl w:val="3"/>
          <w:numId w:val="32"/>
        </w:numPr>
        <w:ind w:left="720" w:hanging="540"/>
      </w:pPr>
      <w:r w:rsidRPr="00045F8A">
        <w:t>Products shall be designed, manufactured, tested, and installed in compliance with the following standards:</w:t>
      </w:r>
    </w:p>
    <w:p w:rsidR="00ED768A" w:rsidRPr="00976542" w:rsidRDefault="00ED768A" w:rsidP="00976542">
      <w:pPr>
        <w:pStyle w:val="Heading5"/>
        <w:tabs>
          <w:tab w:val="left" w:pos="4320"/>
        </w:tabs>
      </w:pPr>
      <w:r w:rsidRPr="00976542">
        <w:t xml:space="preserve">ANSI </w:t>
      </w:r>
      <w:r w:rsidR="00C25E75" w:rsidRPr="00976542">
        <w:t>C</w:t>
      </w:r>
      <w:r w:rsidRPr="00976542">
        <w:t>57.12.28</w:t>
      </w:r>
      <w:r w:rsidRPr="00976542">
        <w:tab/>
        <w:t>Pad Mounted Switchgear Assemblies.</w:t>
      </w:r>
    </w:p>
    <w:p w:rsidR="00ED768A" w:rsidRPr="00976542" w:rsidRDefault="00ED768A" w:rsidP="00976542">
      <w:pPr>
        <w:pStyle w:val="Heading5"/>
        <w:tabs>
          <w:tab w:val="left" w:pos="4320"/>
        </w:tabs>
      </w:pPr>
      <w:r w:rsidRPr="00976542">
        <w:t>NFPA-70</w:t>
      </w:r>
      <w:r w:rsidRPr="00976542">
        <w:tab/>
        <w:t>Medium Voltage Switchgear.</w:t>
      </w:r>
    </w:p>
    <w:p w:rsidR="00ED768A" w:rsidRPr="00A2411C" w:rsidRDefault="00ED768A" w:rsidP="00976542">
      <w:pPr>
        <w:pStyle w:val="Heading1"/>
      </w:pPr>
      <w:r w:rsidRPr="00A2411C">
        <w:t>QUALITY ASSURANCE:</w:t>
      </w:r>
    </w:p>
    <w:p w:rsidR="00ED768A" w:rsidRPr="00045F8A" w:rsidRDefault="00ED768A" w:rsidP="00494492">
      <w:pPr>
        <w:pStyle w:val="Heading4"/>
        <w:numPr>
          <w:ilvl w:val="3"/>
          <w:numId w:val="33"/>
        </w:numPr>
        <w:ind w:left="720" w:hanging="540"/>
      </w:pPr>
      <w:r w:rsidRPr="00045F8A">
        <w:t>Manufacturers:  Provide products complying with these specifications and produced by one of the following:</w:t>
      </w:r>
    </w:p>
    <w:p w:rsidR="00ED768A" w:rsidRPr="00045F8A" w:rsidRDefault="00ED768A" w:rsidP="00976542">
      <w:pPr>
        <w:pStyle w:val="Heading5"/>
      </w:pPr>
      <w:r w:rsidRPr="00045F8A">
        <w:t>S &amp; C Electric Company.</w:t>
      </w:r>
    </w:p>
    <w:p w:rsidR="00ED768A" w:rsidRPr="00045F8A" w:rsidRDefault="00ED768A" w:rsidP="00976542">
      <w:pPr>
        <w:pStyle w:val="Heading5"/>
      </w:pPr>
      <w:r w:rsidRPr="00045F8A">
        <w:t xml:space="preserve">Or approved equal by </w:t>
      </w:r>
      <w:r w:rsidR="00FE5EB7">
        <w:t>University of Houston</w:t>
      </w:r>
      <w:r w:rsidRPr="00045F8A">
        <w:t xml:space="preserve"> Physical Plant.</w:t>
      </w:r>
    </w:p>
    <w:p w:rsidR="00ED768A" w:rsidRPr="00045F8A" w:rsidRDefault="00ED768A" w:rsidP="00494492">
      <w:pPr>
        <w:pStyle w:val="Heading4"/>
      </w:pPr>
      <w:r w:rsidRPr="00045F8A">
        <w:t>NEMA Compliance:  Comply with applicable National Electrical Manufacturers' Association (NEMA) Standards.</w:t>
      </w:r>
    </w:p>
    <w:p w:rsidR="00ED768A" w:rsidRPr="00A2411C" w:rsidRDefault="00ED768A" w:rsidP="00976542">
      <w:pPr>
        <w:pStyle w:val="Heading1"/>
      </w:pPr>
      <w:r w:rsidRPr="00A2411C">
        <w:t>SUBMITTALS:</w:t>
      </w:r>
    </w:p>
    <w:p w:rsidR="00ED768A" w:rsidRPr="00045F8A" w:rsidRDefault="00ED768A" w:rsidP="00494492">
      <w:pPr>
        <w:pStyle w:val="Heading4"/>
        <w:numPr>
          <w:ilvl w:val="3"/>
          <w:numId w:val="34"/>
        </w:numPr>
        <w:ind w:left="720" w:hanging="540"/>
      </w:pPr>
      <w:r w:rsidRPr="00045F8A">
        <w:t>Shop Drawing submittals shall include, but not be limited to, the following:</w:t>
      </w:r>
    </w:p>
    <w:p w:rsidR="00ED768A" w:rsidRPr="00045F8A" w:rsidRDefault="00ED768A" w:rsidP="00976542">
      <w:pPr>
        <w:pStyle w:val="Heading5"/>
      </w:pPr>
      <w:r w:rsidRPr="00045F8A">
        <w:t>Manufacturer's product data sheets.</w:t>
      </w:r>
    </w:p>
    <w:p w:rsidR="00ED768A" w:rsidRPr="00045F8A" w:rsidRDefault="00ED768A" w:rsidP="00976542">
      <w:pPr>
        <w:pStyle w:val="Heading5"/>
      </w:pPr>
      <w:r w:rsidRPr="00045F8A">
        <w:t>Dimensioned drawings of load interrupter switches showing accurately scaled basic units and rough-in information.</w:t>
      </w:r>
    </w:p>
    <w:p w:rsidR="00ED768A" w:rsidRPr="00045F8A" w:rsidRDefault="00ED768A" w:rsidP="00976542">
      <w:pPr>
        <w:pStyle w:val="Heading5"/>
      </w:pPr>
      <w:r w:rsidRPr="00045F8A">
        <w:t>Furnish, upon request, manufacturer's certification of rating of the basic switch and fusing components and the integrated metal-enclosed interrupter switch assembly.</w:t>
      </w:r>
    </w:p>
    <w:p w:rsidR="00ED768A" w:rsidRPr="00045F8A" w:rsidRDefault="00ED768A" w:rsidP="00976542">
      <w:pPr>
        <w:pStyle w:val="Heading5"/>
      </w:pPr>
      <w:r w:rsidRPr="00045F8A">
        <w:t>Additional informa</w:t>
      </w:r>
      <w:r w:rsidR="00A42DE7">
        <w:t>tion as required in Section 26 01 00</w:t>
      </w:r>
      <w:r w:rsidRPr="00045F8A">
        <w:t>.</w:t>
      </w:r>
    </w:p>
    <w:p w:rsidR="00ED768A" w:rsidRPr="00A2411C" w:rsidRDefault="00ED768A" w:rsidP="00976542">
      <w:pPr>
        <w:pStyle w:val="Heading1"/>
      </w:pPr>
      <w:r w:rsidRPr="00A2411C">
        <w:t>PRODUCT DELIVERY, STORAGE AND HANDLING:</w:t>
      </w:r>
    </w:p>
    <w:p w:rsidR="00ED768A" w:rsidRPr="00045F8A" w:rsidRDefault="00ED768A" w:rsidP="00494492">
      <w:pPr>
        <w:pStyle w:val="Heading4"/>
        <w:numPr>
          <w:ilvl w:val="3"/>
          <w:numId w:val="35"/>
        </w:numPr>
        <w:ind w:left="720" w:hanging="540"/>
      </w:pPr>
      <w:r w:rsidRPr="00045F8A">
        <w:t>Delivery switches in factory-fabricated water resistant wrapping.</w:t>
      </w:r>
    </w:p>
    <w:p w:rsidR="00ED768A" w:rsidRPr="00045F8A" w:rsidRDefault="00ED768A" w:rsidP="00494492">
      <w:pPr>
        <w:pStyle w:val="Heading4"/>
      </w:pPr>
      <w:r w:rsidRPr="00045F8A">
        <w:t>Maintain factory-wrapping or provide an additional heavy canvas or plastic cover.</w:t>
      </w:r>
    </w:p>
    <w:p w:rsidR="00ED768A" w:rsidRPr="00045F8A" w:rsidRDefault="00ED768A" w:rsidP="00494492">
      <w:pPr>
        <w:pStyle w:val="Heading4"/>
      </w:pPr>
      <w:r w:rsidRPr="00045F8A">
        <w:t>Store switches in a clean and dry space and protected from weather.</w:t>
      </w:r>
    </w:p>
    <w:p w:rsidR="00ED768A" w:rsidRPr="00045F8A" w:rsidRDefault="00ED768A" w:rsidP="00494492">
      <w:pPr>
        <w:pStyle w:val="Heading4"/>
      </w:pPr>
      <w:r w:rsidRPr="00045F8A">
        <w:t>Handle switches carefully to avoid damage to material components, enclosure, and finish.</w:t>
      </w:r>
    </w:p>
    <w:p w:rsidR="00ED768A" w:rsidRPr="00494492" w:rsidRDefault="00ED768A" w:rsidP="00494492">
      <w:pPr>
        <w:pStyle w:val="Heading2"/>
        <w:rPr>
          <w:b/>
        </w:rPr>
      </w:pPr>
      <w:r w:rsidRPr="00494492">
        <w:rPr>
          <w:b/>
        </w:rPr>
        <w:t>PART 2 - PRODUCTS</w:t>
      </w:r>
    </w:p>
    <w:p w:rsidR="00ED768A" w:rsidRPr="00A2411C" w:rsidRDefault="00ED768A" w:rsidP="00494492">
      <w:pPr>
        <w:pStyle w:val="Heading2"/>
      </w:pPr>
      <w:r w:rsidRPr="00A2411C">
        <w:t>2.1</w:t>
      </w:r>
      <w:r w:rsidRPr="00A2411C">
        <w:tab/>
      </w:r>
      <w:r w:rsidRPr="00494492">
        <w:t>MATERIALS</w:t>
      </w:r>
      <w:r w:rsidRPr="00A2411C">
        <w:t xml:space="preserve"> AND COMPONENTS:</w:t>
      </w:r>
    </w:p>
    <w:p w:rsidR="00ED768A" w:rsidRPr="00045F8A" w:rsidRDefault="00ED768A" w:rsidP="00494492">
      <w:pPr>
        <w:pStyle w:val="Heading4"/>
        <w:numPr>
          <w:ilvl w:val="3"/>
          <w:numId w:val="37"/>
        </w:numPr>
        <w:ind w:left="810" w:hanging="630"/>
      </w:pPr>
      <w:r w:rsidRPr="00045F8A">
        <w:t>General:  Except as otherwise indicated, provide load interrupter switch manufacturer's standard materials and components as indicated by his published product information, designed and constructed as recommended by the manufacturer, and as required for a complete installation.</w:t>
      </w:r>
    </w:p>
    <w:p w:rsidR="00ED768A" w:rsidRPr="00A2411C" w:rsidRDefault="00ED768A" w:rsidP="00494492">
      <w:pPr>
        <w:pStyle w:val="Heading2"/>
      </w:pPr>
      <w:r w:rsidRPr="00A2411C">
        <w:lastRenderedPageBreak/>
        <w:t>2.</w:t>
      </w:r>
      <w:r w:rsidR="009317DD" w:rsidRPr="00A2411C">
        <w:t>2</w:t>
      </w:r>
      <w:r w:rsidRPr="00A2411C">
        <w:tab/>
        <w:t>15 KV METAL-ENCLOSED LOAD INTERRUPTER SWITCHES:</w:t>
      </w:r>
    </w:p>
    <w:p w:rsidR="00ED768A" w:rsidRPr="00045F8A" w:rsidRDefault="00ED768A" w:rsidP="00494492">
      <w:pPr>
        <w:pStyle w:val="Heading4"/>
        <w:numPr>
          <w:ilvl w:val="3"/>
          <w:numId w:val="36"/>
        </w:numPr>
        <w:ind w:left="720" w:hanging="540"/>
      </w:pPr>
      <w:r w:rsidRPr="00045F8A">
        <w:t>General:  Provide factory-assembled, outdoor metal-enclosed dead front load interrupter switchgear for use on a 13,200 volt, 3 phase, 3 wire, grounded, 60 Hz system.</w:t>
      </w:r>
    </w:p>
    <w:p w:rsidR="00ED768A" w:rsidRPr="00045F8A" w:rsidRDefault="00ED768A" w:rsidP="00494492">
      <w:pPr>
        <w:pStyle w:val="Heading4"/>
      </w:pPr>
      <w:r w:rsidRPr="00045F8A">
        <w:t xml:space="preserve">Enclosure Construction:  Switch enclosures shall be </w:t>
      </w:r>
      <w:r w:rsidRPr="00045F8A">
        <w:rPr>
          <w:caps/>
        </w:rPr>
        <w:t>n</w:t>
      </w:r>
      <w:r w:rsidRPr="00045F8A">
        <w:t>ema 3R and shall be fabricated on die-formed steel base or base assembly, consisting of formed steel and commercial channel welded or bolted together to rigidly support the entire shipping unit for moving on rollers and floor-mounting.  The framework shall be formed code gauge steel, rigidly welded and bolted together to support all coverplates, busing, and component devices during shipment and installation.</w:t>
      </w:r>
    </w:p>
    <w:p w:rsidR="00ED768A" w:rsidRPr="00045F8A" w:rsidRDefault="00ED768A" w:rsidP="00494492">
      <w:pPr>
        <w:pStyle w:val="Heading4"/>
      </w:pPr>
      <w:r w:rsidRPr="00045F8A">
        <w:t>Components:</w:t>
      </w:r>
    </w:p>
    <w:p w:rsidR="00ED768A" w:rsidRPr="00045F8A" w:rsidRDefault="00ED768A" w:rsidP="00976542">
      <w:pPr>
        <w:pStyle w:val="Heading5"/>
      </w:pPr>
      <w:r w:rsidRPr="00045F8A">
        <w:t>Device shall consist of two 15 kV 600A load interrupter switches with 600A bushing wells for non-load break elbows</w:t>
      </w:r>
    </w:p>
    <w:p w:rsidR="00ED768A" w:rsidRPr="00045F8A" w:rsidRDefault="00ED768A" w:rsidP="00976542">
      <w:pPr>
        <w:pStyle w:val="Heading5"/>
      </w:pPr>
      <w:r w:rsidRPr="00045F8A">
        <w:rPr>
          <w:caps/>
        </w:rPr>
        <w:t>o</w:t>
      </w:r>
      <w:r w:rsidRPr="00045F8A">
        <w:t>ne 200A fused output switch with 200A bushing wells for 200A load break elbows.</w:t>
      </w:r>
    </w:p>
    <w:p w:rsidR="00ED768A" w:rsidRPr="00045F8A" w:rsidRDefault="00ED768A" w:rsidP="00976542">
      <w:pPr>
        <w:pStyle w:val="Heading5"/>
      </w:pPr>
      <w:r w:rsidRPr="00045F8A">
        <w:t>600A copper bussing</w:t>
      </w:r>
    </w:p>
    <w:p w:rsidR="00ED768A" w:rsidRPr="00045F8A" w:rsidRDefault="00ED768A" w:rsidP="00976542">
      <w:pPr>
        <w:pStyle w:val="Heading5"/>
      </w:pPr>
      <w:r w:rsidRPr="00045F8A">
        <w:t>1</w:t>
      </w:r>
      <w:r w:rsidR="006D6230">
        <w:t>4</w:t>
      </w:r>
      <w:r w:rsidRPr="00045F8A">
        <w:t>.</w:t>
      </w:r>
      <w:r w:rsidR="006D6230">
        <w:t>4</w:t>
      </w:r>
      <w:r w:rsidRPr="00045F8A">
        <w:t xml:space="preserve"> K</w:t>
      </w:r>
      <w:r w:rsidR="00A42DE7">
        <w:t>V</w:t>
      </w:r>
      <w:r w:rsidRPr="00045F8A">
        <w:t xml:space="preserve"> nominal voltage</w:t>
      </w:r>
    </w:p>
    <w:p w:rsidR="00ED768A" w:rsidRPr="00045F8A" w:rsidRDefault="00ED768A" w:rsidP="00976542">
      <w:pPr>
        <w:pStyle w:val="Heading5"/>
      </w:pPr>
      <w:r w:rsidRPr="00045F8A">
        <w:t>95KV BIL rating</w:t>
      </w:r>
    </w:p>
    <w:p w:rsidR="00ED768A" w:rsidRPr="00045F8A" w:rsidRDefault="00ED768A" w:rsidP="00976542">
      <w:pPr>
        <w:pStyle w:val="Heading5"/>
      </w:pPr>
      <w:r w:rsidRPr="00045F8A">
        <w:t>14000 amps short circuit rating</w:t>
      </w:r>
    </w:p>
    <w:p w:rsidR="00ED768A" w:rsidRPr="00045F8A" w:rsidRDefault="00ED768A" w:rsidP="00976542">
      <w:pPr>
        <w:pStyle w:val="Heading5"/>
      </w:pPr>
      <w:r w:rsidRPr="00045F8A">
        <w:t>Solid Material power fuses for SME-20 Fuse holder.</w:t>
      </w:r>
    </w:p>
    <w:p w:rsidR="00ED768A" w:rsidRPr="00045F8A" w:rsidRDefault="00ED768A" w:rsidP="00976542">
      <w:pPr>
        <w:pStyle w:val="Heading5"/>
      </w:pPr>
      <w:r w:rsidRPr="00045F8A">
        <w:t>Provide grounding provisions in each compartment, pad, and continuous copper ground bus.</w:t>
      </w:r>
    </w:p>
    <w:p w:rsidR="00ED768A" w:rsidRPr="00045F8A" w:rsidRDefault="00ED768A" w:rsidP="00976542">
      <w:pPr>
        <w:pStyle w:val="Heading5"/>
      </w:pPr>
      <w:r w:rsidRPr="00045F8A">
        <w:t>Hinged doors</w:t>
      </w:r>
    </w:p>
    <w:p w:rsidR="00ED768A" w:rsidRPr="00045F8A" w:rsidRDefault="00ED768A" w:rsidP="00976542">
      <w:pPr>
        <w:pStyle w:val="Heading5"/>
        <w:rPr>
          <w:caps/>
        </w:rPr>
      </w:pPr>
      <w:r w:rsidRPr="00045F8A">
        <w:t xml:space="preserve">Provide </w:t>
      </w:r>
      <w:r w:rsidR="00A42DE7" w:rsidRPr="00045F8A">
        <w:t>fused</w:t>
      </w:r>
      <w:r w:rsidRPr="00045F8A">
        <w:t xml:space="preserve"> storage rack</w:t>
      </w:r>
    </w:p>
    <w:p w:rsidR="00ED768A" w:rsidRPr="00045F8A" w:rsidRDefault="00ED768A" w:rsidP="00976542">
      <w:pPr>
        <w:pStyle w:val="Heading5"/>
        <w:rPr>
          <w:caps/>
        </w:rPr>
      </w:pPr>
      <w:r w:rsidRPr="00045F8A">
        <w:t xml:space="preserve">Bushing well per </w:t>
      </w:r>
      <w:r w:rsidRPr="00045F8A">
        <w:rPr>
          <w:caps/>
        </w:rPr>
        <w:t>ansi/ieee</w:t>
      </w:r>
      <w:r w:rsidRPr="00045F8A">
        <w:t xml:space="preserve"> Standard 386 (ANSI Standard c119.2)</w:t>
      </w:r>
      <w:r w:rsidRPr="00045F8A">
        <w:rPr>
          <w:caps/>
        </w:rPr>
        <w:t>.</w:t>
      </w:r>
    </w:p>
    <w:p w:rsidR="00ED768A" w:rsidRPr="00045F8A" w:rsidRDefault="00D16F2D" w:rsidP="00494492">
      <w:pPr>
        <w:pStyle w:val="Heading4"/>
      </w:pPr>
      <w:r w:rsidRPr="00045F8A">
        <w:t xml:space="preserve">Switch shall be </w:t>
      </w:r>
      <w:r w:rsidRPr="00045F8A">
        <w:rPr>
          <w:caps/>
        </w:rPr>
        <w:t>s&amp;c</w:t>
      </w:r>
      <w:r w:rsidRPr="00045F8A">
        <w:t xml:space="preserve"> model PME-9 catalogue # 65152</w:t>
      </w:r>
      <w:r w:rsidRPr="00045F8A">
        <w:rPr>
          <w:caps/>
        </w:rPr>
        <w:t>r</w:t>
      </w:r>
      <w:r w:rsidRPr="00045F8A">
        <w:t>1-</w:t>
      </w:r>
      <w:r w:rsidRPr="00045F8A">
        <w:rPr>
          <w:caps/>
        </w:rPr>
        <w:t>c</w:t>
      </w:r>
      <w:r w:rsidRPr="00045F8A">
        <w:t xml:space="preserve">4-Q105 </w:t>
      </w:r>
      <w:r w:rsidRPr="00045F8A">
        <w:rPr>
          <w:caps/>
        </w:rPr>
        <w:t>c</w:t>
      </w:r>
      <w:r w:rsidRPr="00045F8A">
        <w:t xml:space="preserve">opper Buss.  Provide fuse-unit end fittings for </w:t>
      </w:r>
      <w:r w:rsidRPr="00045F8A">
        <w:rPr>
          <w:caps/>
        </w:rPr>
        <w:t>smu</w:t>
      </w:r>
      <w:r w:rsidRPr="00045F8A">
        <w:t xml:space="preserve">-20 fuses Cat # 3093 and three type </w:t>
      </w:r>
      <w:r w:rsidRPr="00045F8A">
        <w:rPr>
          <w:caps/>
        </w:rPr>
        <w:t xml:space="preserve">SMU-20 </w:t>
      </w:r>
      <w:r w:rsidRPr="00045F8A">
        <w:t xml:space="preserve">fuse units sized per the electrical riser (verify fuse speed and size with </w:t>
      </w:r>
      <w:r w:rsidR="00FE5EB7">
        <w:t>UH</w:t>
      </w:r>
      <w:r w:rsidRPr="00045F8A">
        <w:t xml:space="preserve"> prior to ordering.  Provide all components for complete assembly regardless of catalogue numbers listed.</w:t>
      </w:r>
    </w:p>
    <w:p w:rsidR="00ED768A" w:rsidRPr="00494492" w:rsidRDefault="00ED768A" w:rsidP="00494492">
      <w:pPr>
        <w:pStyle w:val="Heading2"/>
        <w:rPr>
          <w:b/>
        </w:rPr>
      </w:pPr>
      <w:r w:rsidRPr="00494492">
        <w:rPr>
          <w:b/>
        </w:rPr>
        <w:t>PART 3 - EXECUTION</w:t>
      </w:r>
    </w:p>
    <w:p w:rsidR="00ED768A" w:rsidRPr="00A2411C" w:rsidRDefault="00ED768A" w:rsidP="00494492">
      <w:pPr>
        <w:pStyle w:val="Heading3"/>
        <w:tabs>
          <w:tab w:val="clear" w:pos="1080"/>
          <w:tab w:val="left" w:pos="720"/>
        </w:tabs>
        <w:ind w:hanging="720"/>
      </w:pPr>
      <w:r w:rsidRPr="00A2411C">
        <w:t>INSTALLATION OF LOAD INTERRUPTER SWITCHES:</w:t>
      </w:r>
    </w:p>
    <w:p w:rsidR="00ED768A" w:rsidRPr="00045F8A" w:rsidRDefault="00ED768A" w:rsidP="00494492">
      <w:pPr>
        <w:pStyle w:val="Heading4"/>
        <w:numPr>
          <w:ilvl w:val="3"/>
          <w:numId w:val="39"/>
        </w:numPr>
        <w:ind w:left="720" w:hanging="540"/>
      </w:pPr>
      <w:r w:rsidRPr="00045F8A">
        <w:t>General:  Install switches where shown, in accordance with the manufacturer's written instructions and recognized industry practices, to ensure that the switchgear complies with the requirements and serves the intended purposes.</w:t>
      </w:r>
    </w:p>
    <w:p w:rsidR="00ED768A" w:rsidRPr="00045F8A" w:rsidRDefault="00ED768A" w:rsidP="00494492">
      <w:pPr>
        <w:pStyle w:val="Heading4"/>
      </w:pPr>
      <w:r w:rsidRPr="00045F8A">
        <w:t>Standards:  Comply with the requirements of NEMA and NEC standards and applicable portions of NECA's "Standard of Installation", for installation of switches.</w:t>
      </w:r>
    </w:p>
    <w:p w:rsidR="00ED768A" w:rsidRPr="00045F8A" w:rsidRDefault="00ED768A" w:rsidP="00494492">
      <w:pPr>
        <w:pStyle w:val="Heading4"/>
      </w:pPr>
      <w:r w:rsidRPr="00045F8A">
        <w:t>Tightness:  Torque bus connections and tighten mechanical fasteners.</w:t>
      </w:r>
    </w:p>
    <w:p w:rsidR="00ED768A" w:rsidRPr="00045F8A" w:rsidRDefault="00ED768A" w:rsidP="00494492">
      <w:pPr>
        <w:pStyle w:val="Heading4"/>
      </w:pPr>
      <w:r w:rsidRPr="00045F8A">
        <w:t>Fuses:  Install fuses, of the ratings shown, in the load interrupter switches.</w:t>
      </w:r>
    </w:p>
    <w:p w:rsidR="00ED768A" w:rsidRPr="00045F8A" w:rsidRDefault="00ED768A" w:rsidP="00494492">
      <w:pPr>
        <w:pStyle w:val="Heading4"/>
      </w:pPr>
      <w:r w:rsidRPr="00045F8A">
        <w:t>Concrete Pads:  Install switches on reinforced concrete housekeeping pads.  The housekeeping pad shall extend 3" beyond the housing of the switch unless shown otherwise.  Furnish the exact position of any block outs, dimensions, and location of the housekeeping pads in a timely manner so as to prevent delay of the concrete work.  Refer to S</w:t>
      </w:r>
      <w:r w:rsidR="006D6230">
        <w:t xml:space="preserve">ection 26 01 </w:t>
      </w:r>
      <w:r w:rsidRPr="00045F8A">
        <w:t>00, "Basic Materials and Methods", for additional requirements.</w:t>
      </w:r>
    </w:p>
    <w:p w:rsidR="00ED768A" w:rsidRPr="00045F8A" w:rsidRDefault="00ED768A" w:rsidP="00494492">
      <w:pPr>
        <w:pStyle w:val="Heading4"/>
      </w:pPr>
      <w:r w:rsidRPr="00045F8A">
        <w:t>Adjustment:  Adjust operating mechanisms for free mechanical movement.</w:t>
      </w:r>
    </w:p>
    <w:p w:rsidR="00ED768A" w:rsidRPr="00A2411C" w:rsidRDefault="00ED768A" w:rsidP="00494492">
      <w:pPr>
        <w:pStyle w:val="Heading3"/>
        <w:tabs>
          <w:tab w:val="clear" w:pos="1080"/>
          <w:tab w:val="left" w:pos="720"/>
        </w:tabs>
        <w:ind w:hanging="720"/>
      </w:pPr>
      <w:r w:rsidRPr="00A2411C">
        <w:t>TESTING:</w:t>
      </w:r>
    </w:p>
    <w:p w:rsidR="00ED768A" w:rsidRPr="00045F8A" w:rsidRDefault="00ED768A" w:rsidP="00494492">
      <w:pPr>
        <w:pStyle w:val="Heading4"/>
        <w:numPr>
          <w:ilvl w:val="3"/>
          <w:numId w:val="40"/>
        </w:numPr>
        <w:ind w:left="720" w:hanging="540"/>
      </w:pPr>
      <w:r w:rsidRPr="00045F8A">
        <w:lastRenderedPageBreak/>
        <w:t>Pre-energization Checks:  Prior to energization, check switches for continuity of circuits and for short circuits.</w:t>
      </w:r>
    </w:p>
    <w:p w:rsidR="00ED768A" w:rsidRPr="00045F8A" w:rsidRDefault="00ED768A" w:rsidP="00494492">
      <w:pPr>
        <w:pStyle w:val="Heading4"/>
      </w:pPr>
      <w:r w:rsidRPr="00045F8A">
        <w:t xml:space="preserve">Thermographic </w:t>
      </w:r>
      <w:r w:rsidR="00230AA8">
        <w:t>Testing:  Refer to Section 26 01 26</w:t>
      </w:r>
      <w:r w:rsidRPr="00045F8A">
        <w:t>, "Electrical Testing", for thermographic testing.</w:t>
      </w:r>
    </w:p>
    <w:p w:rsidR="00ED768A" w:rsidRPr="00045F8A" w:rsidRDefault="00ED768A" w:rsidP="00494492">
      <w:pPr>
        <w:pStyle w:val="Heading4"/>
      </w:pPr>
      <w:r w:rsidRPr="00045F8A">
        <w:t>Prior to energization of switches, Megger-test phase-to-phase and phase-to-ground insulation resistance.</w:t>
      </w:r>
    </w:p>
    <w:p w:rsidR="00ED768A" w:rsidRPr="00A2411C" w:rsidRDefault="00ED768A" w:rsidP="00494492">
      <w:pPr>
        <w:pStyle w:val="Heading3"/>
        <w:tabs>
          <w:tab w:val="clear" w:pos="1080"/>
          <w:tab w:val="left" w:pos="720"/>
        </w:tabs>
        <w:ind w:hanging="720"/>
      </w:pPr>
      <w:r w:rsidRPr="00A2411C">
        <w:t>IDENTIFICATION:</w:t>
      </w:r>
    </w:p>
    <w:p w:rsidR="00ED768A" w:rsidRPr="00045F8A" w:rsidRDefault="00ED768A" w:rsidP="005D0FD1">
      <w:pPr>
        <w:pStyle w:val="Heading4"/>
        <w:numPr>
          <w:ilvl w:val="3"/>
          <w:numId w:val="41"/>
        </w:numPr>
        <w:ind w:left="720" w:hanging="540"/>
      </w:pPr>
      <w:r w:rsidRPr="00045F8A">
        <w:t xml:space="preserve">General:  Refer to Section </w:t>
      </w:r>
      <w:r w:rsidR="00A42DE7">
        <w:t>2</w:t>
      </w:r>
      <w:r w:rsidRPr="00045F8A">
        <w:t>6</w:t>
      </w:r>
      <w:r w:rsidR="00A42DE7">
        <w:t xml:space="preserve"> 05 53</w:t>
      </w:r>
      <w:r w:rsidRPr="00045F8A">
        <w:t xml:space="preserve"> for nameplates, identification and warning signs.</w:t>
      </w:r>
    </w:p>
    <w:p w:rsidR="00ED768A" w:rsidRPr="005D0FD1" w:rsidRDefault="00A2411C" w:rsidP="005D0FD1">
      <w:pPr>
        <w:pStyle w:val="PlainText"/>
        <w:spacing w:after="240"/>
        <w:rPr>
          <w:rFonts w:ascii="Arial" w:hAnsi="Arial" w:cs="Arial"/>
          <w:sz w:val="22"/>
          <w:szCs w:val="18"/>
        </w:rPr>
      </w:pPr>
      <w:r w:rsidRPr="005D0FD1">
        <w:rPr>
          <w:rFonts w:ascii="Arial" w:hAnsi="Arial" w:cs="Arial"/>
          <w:sz w:val="22"/>
          <w:szCs w:val="18"/>
        </w:rPr>
        <w:t>END OF SECTION</w:t>
      </w:r>
      <w:r w:rsidR="005D0FD1">
        <w:rPr>
          <w:rFonts w:ascii="Arial" w:hAnsi="Arial" w:cs="Arial"/>
          <w:sz w:val="22"/>
          <w:szCs w:val="18"/>
        </w:rPr>
        <w:t xml:space="preserve"> 26 13 00</w:t>
      </w:r>
    </w:p>
    <w:sectPr w:rsidR="00ED768A" w:rsidRPr="005D0FD1" w:rsidSect="000876F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72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F7" w:rsidRDefault="00762AF7">
      <w:r>
        <w:separator/>
      </w:r>
    </w:p>
  </w:endnote>
  <w:endnote w:type="continuationSeparator" w:id="0">
    <w:p w:rsidR="00762AF7" w:rsidRDefault="0076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A8" w:rsidRDefault="00230AA8">
    <w:pPr>
      <w:pStyle w:val="Footer"/>
      <w:tabs>
        <w:tab w:val="clear" w:pos="8640"/>
        <w:tab w:val="right" w:pos="9810"/>
      </w:tabs>
      <w:rPr>
        <w:sz w:val="24"/>
      </w:rPr>
    </w:pPr>
  </w:p>
  <w:p w:rsidR="00230AA8" w:rsidRDefault="00230AA8">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A8" w:rsidRPr="00E94B5F" w:rsidRDefault="00230AA8" w:rsidP="00045F8A">
    <w:pPr>
      <w:pStyle w:val="STFooter"/>
      <w:tabs>
        <w:tab w:val="clear" w:pos="4680"/>
        <w:tab w:val="clear" w:pos="9360"/>
        <w:tab w:val="center" w:pos="5040"/>
        <w:tab w:val="right" w:pos="10080"/>
      </w:tabs>
      <w:rPr>
        <w:rFonts w:ascii="Arial" w:hAnsi="Arial" w:cs="Arial"/>
        <w:sz w:val="20"/>
        <w:szCs w:val="18"/>
      </w:rPr>
    </w:pPr>
  </w:p>
  <w:p w:rsidR="00230AA8" w:rsidRPr="00802C4C" w:rsidRDefault="00976542" w:rsidP="00045F8A">
    <w:pPr>
      <w:pStyle w:val="STFooter"/>
      <w:tabs>
        <w:tab w:val="clear" w:pos="4680"/>
        <w:tab w:val="clear" w:pos="9360"/>
        <w:tab w:val="center" w:pos="5040"/>
        <w:tab w:val="right" w:pos="10080"/>
      </w:tabs>
      <w:rPr>
        <w:rFonts w:ascii="Calibri" w:hAnsi="Calibri" w:cs="Arial"/>
        <w:sz w:val="20"/>
        <w:szCs w:val="18"/>
      </w:rPr>
    </w:pPr>
    <w:r w:rsidRPr="00802C4C">
      <w:rPr>
        <w:rFonts w:ascii="Calibri" w:hAnsi="Calibri" w:cs="Arial"/>
        <w:sz w:val="20"/>
        <w:szCs w:val="18"/>
      </w:rPr>
      <w:t>AE Project Number:</w:t>
    </w:r>
    <w:r w:rsidR="00230AA8" w:rsidRPr="00802C4C">
      <w:rPr>
        <w:rFonts w:ascii="Calibri" w:hAnsi="Calibri" w:cs="Arial"/>
        <w:sz w:val="20"/>
        <w:szCs w:val="18"/>
      </w:rPr>
      <w:tab/>
    </w:r>
    <w:r w:rsidR="00E94B5F" w:rsidRPr="00802C4C">
      <w:rPr>
        <w:rFonts w:ascii="Calibri" w:hAnsi="Calibri" w:cs="Arial"/>
        <w:sz w:val="20"/>
        <w:szCs w:val="18"/>
      </w:rPr>
      <w:t>15 KV Load Interrupter Switches</w:t>
    </w:r>
    <w:r w:rsidR="00230AA8" w:rsidRPr="00802C4C">
      <w:rPr>
        <w:rFonts w:ascii="Calibri" w:hAnsi="Calibri" w:cs="Arial"/>
        <w:sz w:val="20"/>
        <w:szCs w:val="18"/>
      </w:rPr>
      <w:tab/>
      <w:t>26 13 00-</w:t>
    </w:r>
    <w:r w:rsidR="00230AA8" w:rsidRPr="00802C4C">
      <w:rPr>
        <w:rStyle w:val="PageNumber"/>
        <w:rFonts w:ascii="Calibri" w:hAnsi="Calibri" w:cs="Arial"/>
        <w:snapToGrid/>
        <w:sz w:val="20"/>
        <w:szCs w:val="18"/>
      </w:rPr>
      <w:fldChar w:fldCharType="begin"/>
    </w:r>
    <w:r w:rsidR="00230AA8" w:rsidRPr="00802C4C">
      <w:rPr>
        <w:rStyle w:val="PageNumber"/>
        <w:rFonts w:ascii="Calibri" w:hAnsi="Calibri" w:cs="Arial"/>
        <w:snapToGrid/>
        <w:sz w:val="20"/>
        <w:szCs w:val="18"/>
      </w:rPr>
      <w:instrText xml:space="preserve"> PAGE </w:instrText>
    </w:r>
    <w:r w:rsidR="00230AA8" w:rsidRPr="00802C4C">
      <w:rPr>
        <w:rStyle w:val="PageNumber"/>
        <w:rFonts w:ascii="Calibri" w:hAnsi="Calibri" w:cs="Arial"/>
        <w:snapToGrid/>
        <w:sz w:val="20"/>
        <w:szCs w:val="18"/>
      </w:rPr>
      <w:fldChar w:fldCharType="separate"/>
    </w:r>
    <w:r w:rsidR="007D76D5">
      <w:rPr>
        <w:rStyle w:val="PageNumber"/>
        <w:rFonts w:ascii="Calibri" w:hAnsi="Calibri" w:cs="Arial"/>
        <w:noProof/>
        <w:snapToGrid/>
        <w:sz w:val="20"/>
        <w:szCs w:val="18"/>
      </w:rPr>
      <w:t>1</w:t>
    </w:r>
    <w:r w:rsidR="00230AA8" w:rsidRPr="00802C4C">
      <w:rPr>
        <w:rStyle w:val="PageNumber"/>
        <w:rFonts w:ascii="Calibri" w:hAnsi="Calibri" w:cs="Arial"/>
        <w:snapToGrid/>
        <w:sz w:val="20"/>
        <w:szCs w:val="18"/>
      </w:rPr>
      <w:fldChar w:fldCharType="end"/>
    </w:r>
  </w:p>
  <w:p w:rsidR="00230AA8" w:rsidRPr="00802C4C" w:rsidRDefault="00E94B5F" w:rsidP="00045F8A">
    <w:pPr>
      <w:pStyle w:val="Footer"/>
      <w:tabs>
        <w:tab w:val="right" w:pos="10080"/>
      </w:tabs>
      <w:rPr>
        <w:rFonts w:ascii="Calibri" w:hAnsi="Calibri" w:cs="Arial"/>
        <w:szCs w:val="18"/>
      </w:rPr>
    </w:pPr>
    <w:r w:rsidRPr="00802C4C">
      <w:rPr>
        <w:rFonts w:ascii="Calibri" w:hAnsi="Calibri" w:cs="Arial"/>
        <w:szCs w:val="18"/>
      </w:rPr>
      <w:t>Revision Date:</w:t>
    </w:r>
    <w:r w:rsidR="00802C4C" w:rsidRPr="00802C4C">
      <w:rPr>
        <w:rFonts w:ascii="Calibri" w:hAnsi="Calibri" w:cs="Arial"/>
        <w:szCs w:val="18"/>
      </w:rPr>
      <w:t xml:space="preserve"> </w:t>
    </w:r>
    <w:r w:rsidR="007D76D5"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D5" w:rsidRDefault="007D7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F7" w:rsidRDefault="00762AF7">
      <w:r>
        <w:separator/>
      </w:r>
    </w:p>
  </w:footnote>
  <w:footnote w:type="continuationSeparator" w:id="0">
    <w:p w:rsidR="00762AF7" w:rsidRDefault="00762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A8" w:rsidRDefault="00230AA8">
    <w:pPr>
      <w:tabs>
        <w:tab w:val="right" w:pos="9810"/>
      </w:tabs>
      <w:spacing w:line="200" w:lineRule="exact"/>
    </w:pPr>
    <w:r>
      <w:t>[Project Name]</w:t>
    </w:r>
    <w:r>
      <w:tab/>
    </w:r>
    <w:r>
      <w:fldChar w:fldCharType="begin"/>
    </w:r>
    <w:r>
      <w:instrText xml:space="preserve"> TIME \@ "MMMM d, yyyy" </w:instrText>
    </w:r>
    <w:r>
      <w:fldChar w:fldCharType="separate"/>
    </w:r>
    <w:r w:rsidR="007D76D5">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4C" w:rsidRPr="00802C4C" w:rsidRDefault="00802C4C" w:rsidP="00802C4C">
    <w:pPr>
      <w:pStyle w:val="Header"/>
      <w:rPr>
        <w:rFonts w:ascii="Calibri" w:hAnsi="Calibri"/>
      </w:rPr>
    </w:pPr>
    <w:r w:rsidRPr="00802C4C">
      <w:rPr>
        <w:rFonts w:ascii="Calibri" w:hAnsi="Calibri"/>
      </w:rPr>
      <w:t>University of Houston Master Construction Specifications</w:t>
    </w:r>
  </w:p>
  <w:p w:rsidR="00976542" w:rsidRPr="00802C4C" w:rsidRDefault="00802C4C">
    <w:pPr>
      <w:pStyle w:val="Header"/>
      <w:rPr>
        <w:rFonts w:ascii="Calibri" w:hAnsi="Calibri" w:cs="Arial"/>
      </w:rPr>
    </w:pPr>
    <w:r w:rsidRPr="00802C4C">
      <w:rPr>
        <w:rFonts w:ascii="Calibri" w:hAnsi="Calibri" w:cs="Arial"/>
      </w:rPr>
      <w:t xml:space="preserve">Insert </w:t>
    </w:r>
    <w:r w:rsidR="00976542" w:rsidRPr="00802C4C">
      <w:rPr>
        <w:rFonts w:ascii="Calibri" w:hAnsi="Calibri" w:cs="Arial"/>
      </w:rPr>
      <w:t>Project Name</w:t>
    </w:r>
  </w:p>
  <w:p w:rsidR="00976542" w:rsidRPr="00976542" w:rsidRDefault="00976542">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D5" w:rsidRDefault="007D7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A904538"/>
    <w:lvl w:ilvl="0">
      <w:start w:val="1"/>
      <w:numFmt w:val="decimal"/>
      <w:lvlText w:val="1.%1"/>
      <w:legacy w:legacy="1" w:legacySpace="0" w:legacyIndent="0"/>
      <w:lvlJc w:val="left"/>
      <w:pPr>
        <w:ind w:left="720" w:firstLine="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2.%2"/>
      <w:legacy w:legacy="1" w:legacySpace="0" w:legacyIndent="0"/>
      <w:lvlJc w:val="left"/>
      <w:pPr>
        <w:ind w:left="720" w:firstLine="0"/>
      </w:pPr>
      <w:rPr>
        <w:rFonts w:ascii="Arial" w:hAnsi="Arial" w:cs="Arial" w:hint="default"/>
        <w:b w:val="0"/>
        <w:i w:val="0"/>
        <w:sz w:val="22"/>
        <w:szCs w:val="22"/>
      </w:rPr>
    </w:lvl>
    <w:lvl w:ilvl="2">
      <w:numFmt w:val="decimal"/>
      <w:lvlText w:val="3.%3"/>
      <w:legacy w:legacy="1" w:legacySpace="0" w:legacyIndent="432"/>
      <w:lvlJc w:val="left"/>
      <w:pPr>
        <w:ind w:left="720" w:hanging="432"/>
      </w:pPr>
      <w:rPr>
        <w:rFonts w:ascii="Arial" w:hAnsi="Arial" w:cs="Arial" w:hint="default"/>
        <w:b w:val="0"/>
        <w:i w:val="0"/>
        <w:sz w:val="22"/>
        <w:szCs w:val="22"/>
      </w:rPr>
    </w:lvl>
    <w:lvl w:ilvl="3">
      <w:start w:val="1"/>
      <w:numFmt w:val="upperLetter"/>
      <w:lvlText w:val="%4."/>
      <w:legacy w:legacy="1" w:legacySpace="0" w:legacyIndent="288"/>
      <w:lvlJc w:val="left"/>
      <w:pPr>
        <w:ind w:left="720" w:hanging="288"/>
      </w:pPr>
    </w:lvl>
    <w:lvl w:ilvl="4">
      <w:start w:val="1"/>
      <w:numFmt w:val="decimal"/>
      <w:lvlText w:val="%5."/>
      <w:legacy w:legacy="1" w:legacySpace="0" w:legacyIndent="288"/>
      <w:lvlJc w:val="left"/>
      <w:pPr>
        <w:ind w:left="1170" w:hanging="288"/>
      </w:pPr>
      <w:rPr>
        <w:rFonts w:ascii="Arial" w:hAnsi="Arial" w:hint="default"/>
        <w:b w:val="0"/>
        <w:i w:val="0"/>
        <w:sz w:val="18"/>
        <w:szCs w:val="18"/>
      </w:rPr>
    </w:lvl>
    <w:lvl w:ilvl="5">
      <w:start w:val="1"/>
      <w:numFmt w:val="lowerLetter"/>
      <w:lvlText w:val="%6."/>
      <w:legacy w:legacy="1" w:legacySpace="0" w:legacyIndent="288"/>
      <w:lvlJc w:val="left"/>
      <w:pPr>
        <w:ind w:left="1530" w:hanging="288"/>
      </w:pPr>
    </w:lvl>
    <w:lvl w:ilvl="6">
      <w:start w:val="1"/>
      <w:numFmt w:val="decimal"/>
      <w:lvlText w:val="%7)"/>
      <w:legacy w:legacy="1" w:legacySpace="0" w:legacyIndent="288"/>
      <w:lvlJc w:val="left"/>
      <w:pPr>
        <w:ind w:left="1584" w:hanging="288"/>
      </w:pPr>
      <w:rPr>
        <w:rFonts w:ascii="Times New Roman" w:hAnsi="Times New Roman" w:hint="default"/>
        <w:b w:val="0"/>
        <w:i w:val="0"/>
        <w:sz w:val="20"/>
      </w:rPr>
    </w:lvl>
    <w:lvl w:ilvl="7">
      <w:start w:val="1"/>
      <w:numFmt w:val="lowerLetter"/>
      <w:lvlText w:val="%8)"/>
      <w:legacy w:legacy="1" w:legacySpace="0" w:legacyIndent="288"/>
      <w:lvlJc w:val="left"/>
      <w:pPr>
        <w:ind w:left="1872" w:hanging="288"/>
      </w:pPr>
      <w:rPr>
        <w:rFonts w:ascii="Times New Roman" w:hAnsi="Times New Roman" w:hint="default"/>
        <w:b w:val="0"/>
        <w:i w:val="0"/>
        <w:sz w:val="20"/>
      </w:rPr>
    </w:lvl>
    <w:lvl w:ilvl="8">
      <w:start w:val="1"/>
      <w:numFmt w:val="decimal"/>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249B03A2"/>
    <w:multiLevelType w:val="hybridMultilevel"/>
    <w:tmpl w:val="FABA4700"/>
    <w:lvl w:ilvl="0" w:tplc="C26C2718">
      <w:start w:val="1"/>
      <w:numFmt w:val="decimal"/>
      <w:pStyle w:val="Heading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F6F21"/>
    <w:multiLevelType w:val="multilevel"/>
    <w:tmpl w:val="428C4FEE"/>
    <w:lvl w:ilvl="0">
      <w:start w:val="1"/>
      <w:numFmt w:val="decimal"/>
      <w:lvlText w:val="1.%1"/>
      <w:legacy w:legacy="1" w:legacySpace="0" w:legacyIndent="0"/>
      <w:lvlJc w:val="left"/>
      <w:pPr>
        <w:ind w:left="720" w:firstLine="0"/>
      </w:pPr>
      <w:rPr>
        <w:rFonts w:ascii="Times New Roman" w:hAnsi="Times New Roman" w:hint="default"/>
        <w:b w:val="0"/>
        <w:i w:val="0"/>
        <w:sz w:val="24"/>
      </w:rPr>
    </w:lvl>
    <w:lvl w:ilvl="1">
      <w:numFmt w:val="decimal"/>
      <w:lvlText w:val="2.%2"/>
      <w:legacy w:legacy="1" w:legacySpace="0" w:legacyIndent="0"/>
      <w:lvlJc w:val="left"/>
      <w:pPr>
        <w:ind w:left="720" w:firstLine="0"/>
      </w:pPr>
      <w:rPr>
        <w:rFonts w:ascii="Times New Roman" w:hAnsi="Times New Roman" w:hint="default"/>
        <w:b w:val="0"/>
        <w:i w:val="0"/>
        <w:sz w:val="24"/>
      </w:rPr>
    </w:lvl>
    <w:lvl w:ilvl="2">
      <w:numFmt w:val="decimal"/>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558" w:hanging="288"/>
      </w:pPr>
    </w:lvl>
    <w:lvl w:ilvl="4">
      <w:start w:val="1"/>
      <w:numFmt w:val="decimal"/>
      <w:lvlText w:val="%5."/>
      <w:legacy w:legacy="1" w:legacySpace="0" w:legacyIndent="288"/>
      <w:lvlJc w:val="left"/>
      <w:pPr>
        <w:ind w:left="1170" w:hanging="288"/>
      </w:pPr>
      <w:rPr>
        <w:rFonts w:ascii="Times New Roman" w:hAnsi="Times New Roman" w:hint="default"/>
        <w:b w:val="0"/>
        <w:i w:val="0"/>
        <w:sz w:val="20"/>
      </w:rPr>
    </w:lvl>
    <w:lvl w:ilvl="5">
      <w:start w:val="1"/>
      <w:numFmt w:val="lowerLetter"/>
      <w:lvlText w:val="%6."/>
      <w:legacy w:legacy="1" w:legacySpace="0" w:legacyIndent="288"/>
      <w:lvlJc w:val="left"/>
      <w:pPr>
        <w:ind w:left="1530" w:hanging="288"/>
      </w:pPr>
    </w:lvl>
    <w:lvl w:ilvl="6">
      <w:start w:val="1"/>
      <w:numFmt w:val="decimal"/>
      <w:lvlText w:val="%7)"/>
      <w:legacy w:legacy="1" w:legacySpace="0" w:legacyIndent="288"/>
      <w:lvlJc w:val="left"/>
      <w:pPr>
        <w:ind w:left="1584" w:hanging="288"/>
      </w:pPr>
      <w:rPr>
        <w:rFonts w:ascii="Times New Roman" w:hAnsi="Times New Roman" w:hint="default"/>
        <w:b w:val="0"/>
        <w:i w:val="0"/>
        <w:sz w:val="20"/>
      </w:rPr>
    </w:lvl>
    <w:lvl w:ilvl="7">
      <w:start w:val="1"/>
      <w:numFmt w:val="lowerLetter"/>
      <w:lvlText w:val="%8)"/>
      <w:legacy w:legacy="1" w:legacySpace="0" w:legacyIndent="288"/>
      <w:lvlJc w:val="left"/>
      <w:pPr>
        <w:ind w:left="1872" w:hanging="288"/>
      </w:pPr>
      <w:rPr>
        <w:rFonts w:ascii="Times New Roman" w:hAnsi="Times New Roman" w:hint="default"/>
        <w:b w:val="0"/>
        <w:i w:val="0"/>
        <w:sz w:val="20"/>
      </w:rPr>
    </w:lvl>
    <w:lvl w:ilvl="8">
      <w:start w:val="1"/>
      <w:numFmt w:val="decimal"/>
      <w:lvlText w:val="(%9)"/>
      <w:legacy w:legacy="1" w:legacySpace="0" w:legacyIndent="288"/>
      <w:lvlJc w:val="left"/>
      <w:pPr>
        <w:ind w:left="2160" w:hanging="288"/>
      </w:pPr>
      <w:rPr>
        <w:rFonts w:ascii="Times New Roman" w:hAnsi="Times New Roman" w:hint="default"/>
        <w:b w:val="0"/>
        <w:i w:val="0"/>
        <w:sz w:val="20"/>
      </w:rPr>
    </w:lvl>
  </w:abstractNum>
  <w:abstractNum w:abstractNumId="3" w15:restartNumberingAfterBreak="0">
    <w:nsid w:val="60F85AF7"/>
    <w:multiLevelType w:val="multilevel"/>
    <w:tmpl w:val="1E621736"/>
    <w:lvl w:ilvl="0">
      <w:start w:val="1"/>
      <w:numFmt w:val="decimal"/>
      <w:pStyle w:val="Heading1"/>
      <w:lvlText w:val="1.%1"/>
      <w:lvlJc w:val="left"/>
      <w:pPr>
        <w:ind w:left="450" w:hanging="360"/>
      </w:pPr>
      <w:rPr>
        <w:rFonts w:hint="default"/>
        <w:b w:val="0"/>
        <w:bCs w:val="0"/>
        <w:i w:val="0"/>
        <w:iCs w:val="0"/>
        <w:sz w:val="22"/>
        <w:szCs w:val="18"/>
      </w:rPr>
    </w:lvl>
    <w:lvl w:ilvl="1">
      <w:numFmt w:val="decimalZero"/>
      <w:lvlText w:val="2.%2"/>
      <w:lvlJc w:val="left"/>
      <w:pPr>
        <w:tabs>
          <w:tab w:val="num" w:pos="720"/>
        </w:tabs>
        <w:ind w:left="720" w:hanging="720"/>
      </w:pPr>
      <w:rPr>
        <w:rFonts w:ascii="Arial" w:hAnsi="Arial" w:cs="Arial" w:hint="default"/>
        <w:b/>
        <w:bCs w:val="0"/>
        <w:i w:val="0"/>
        <w:iCs w:val="0"/>
        <w:sz w:val="18"/>
        <w:szCs w:val="18"/>
      </w:rPr>
    </w:lvl>
    <w:lvl w:ilvl="2">
      <w:numFmt w:val="decimalZero"/>
      <w:lvlText w:val="3.%3"/>
      <w:lvlJc w:val="left"/>
      <w:pPr>
        <w:tabs>
          <w:tab w:val="num" w:pos="720"/>
        </w:tabs>
        <w:ind w:left="720" w:hanging="720"/>
      </w:pPr>
      <w:rPr>
        <w:rFonts w:ascii="Arial" w:hAnsi="Arial" w:cs="Arial" w:hint="default"/>
        <w:b/>
        <w:bCs w:val="0"/>
        <w:i w:val="0"/>
        <w:iCs w:val="0"/>
        <w:sz w:val="18"/>
        <w:szCs w:val="18"/>
      </w:rPr>
    </w:lvl>
    <w:lvl w:ilvl="3">
      <w:start w:val="1"/>
      <w:numFmt w:val="upperLetter"/>
      <w:lvlText w:val="%4."/>
      <w:lvlJc w:val="left"/>
      <w:pPr>
        <w:tabs>
          <w:tab w:val="num" w:pos="1440"/>
        </w:tabs>
        <w:ind w:left="1440" w:hanging="720"/>
      </w:pPr>
      <w:rPr>
        <w:rFonts w:ascii="Arial" w:hAnsi="Arial" w:cs="Arial" w:hint="default"/>
        <w:b w:val="0"/>
        <w:i w:val="0"/>
        <w:sz w:val="18"/>
        <w:szCs w:val="18"/>
      </w:rPr>
    </w:lvl>
    <w:lvl w:ilvl="4">
      <w:start w:val="1"/>
      <w:numFmt w:val="decimal"/>
      <w:pStyle w:val="Heading5"/>
      <w:lvlText w:val="%5."/>
      <w:lvlJc w:val="left"/>
      <w:pPr>
        <w:tabs>
          <w:tab w:val="num" w:pos="2160"/>
        </w:tabs>
        <w:ind w:left="2160" w:hanging="720"/>
      </w:pPr>
      <w:rPr>
        <w:rFonts w:ascii="Arial" w:hAnsi="Arial" w:cs="Arial" w:hint="default"/>
        <w:b w:val="0"/>
        <w:bCs w:val="0"/>
        <w:i w:val="0"/>
        <w:iCs w:val="0"/>
        <w:sz w:val="22"/>
        <w:szCs w:val="18"/>
      </w:rPr>
    </w:lvl>
    <w:lvl w:ilvl="5">
      <w:start w:val="1"/>
      <w:numFmt w:val="lowerLetter"/>
      <w:pStyle w:val="Heading6"/>
      <w:lvlText w:val="%6."/>
      <w:lvlJc w:val="left"/>
      <w:pPr>
        <w:tabs>
          <w:tab w:val="num" w:pos="2880"/>
        </w:tabs>
        <w:ind w:left="2880" w:hanging="720"/>
      </w:pPr>
      <w:rPr>
        <w:rFonts w:ascii="Arial" w:hAnsi="Arial" w:cs="Arial" w:hint="default"/>
        <w:b w:val="0"/>
        <w:i w:val="0"/>
        <w:sz w:val="18"/>
        <w:szCs w:val="18"/>
      </w:rPr>
    </w:lvl>
    <w:lvl w:ilvl="6">
      <w:start w:val="1"/>
      <w:numFmt w:val="decimal"/>
      <w:pStyle w:val="Heading7"/>
      <w:lvlText w:val="(%7)"/>
      <w:lvlJc w:val="left"/>
      <w:pPr>
        <w:tabs>
          <w:tab w:val="num" w:pos="3600"/>
        </w:tabs>
        <w:ind w:left="3600" w:hanging="720"/>
      </w:pPr>
      <w:rPr>
        <w:rFonts w:ascii="Swis721 BT" w:hAnsi="Swis721 BT" w:cs="Times New Roman" w:hint="default"/>
        <w:b w:val="0"/>
        <w:bCs w:val="0"/>
        <w:i w:val="0"/>
        <w:iCs w:val="0"/>
        <w:sz w:val="20"/>
        <w:szCs w:val="20"/>
      </w:rPr>
    </w:lvl>
    <w:lvl w:ilvl="7">
      <w:start w:val="1"/>
      <w:numFmt w:val="lowerLetter"/>
      <w:pStyle w:val="Heading8"/>
      <w:lvlText w:val="(%8)"/>
      <w:lvlJc w:val="left"/>
      <w:pPr>
        <w:tabs>
          <w:tab w:val="num" w:pos="4320"/>
        </w:tabs>
        <w:ind w:left="4320" w:hanging="720"/>
      </w:pPr>
      <w:rPr>
        <w:rFonts w:ascii="Swis721 BT" w:hAnsi="Swis721 BT" w:cs="Times New Roman" w:hint="default"/>
        <w:b w:val="0"/>
        <w:bCs w:val="0"/>
        <w:i w:val="0"/>
        <w:iCs w:val="0"/>
        <w:sz w:val="20"/>
        <w:szCs w:val="20"/>
      </w:rPr>
    </w:lvl>
    <w:lvl w:ilvl="8">
      <w:start w:val="1"/>
      <w:numFmt w:val="decimal"/>
      <w:pStyle w:val="Heading9"/>
      <w:lvlText w:val="(%9)"/>
      <w:lvlJc w:val="left"/>
      <w:pPr>
        <w:tabs>
          <w:tab w:val="num" w:pos="5040"/>
        </w:tabs>
        <w:ind w:left="5040" w:hanging="720"/>
      </w:pPr>
      <w:rPr>
        <w:rFonts w:ascii="Swis721 BT" w:hAnsi="Swis721 BT" w:cs="Times New Roman" w:hint="default"/>
        <w:b w:val="0"/>
        <w:bCs w:val="0"/>
        <w:i w:val="0"/>
        <w:iCs w:val="0"/>
        <w:sz w:val="20"/>
        <w:szCs w:val="20"/>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num>
  <w:num w:numId="3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75"/>
    <w:rsid w:val="00045F8A"/>
    <w:rsid w:val="000647B3"/>
    <w:rsid w:val="000876FA"/>
    <w:rsid w:val="000C2902"/>
    <w:rsid w:val="00110012"/>
    <w:rsid w:val="001C2184"/>
    <w:rsid w:val="00230AA8"/>
    <w:rsid w:val="00233537"/>
    <w:rsid w:val="003F2AAF"/>
    <w:rsid w:val="00494492"/>
    <w:rsid w:val="004978B0"/>
    <w:rsid w:val="004A6D10"/>
    <w:rsid w:val="00577583"/>
    <w:rsid w:val="005D0FD1"/>
    <w:rsid w:val="006D6230"/>
    <w:rsid w:val="006F63C1"/>
    <w:rsid w:val="00707328"/>
    <w:rsid w:val="00710E54"/>
    <w:rsid w:val="00721447"/>
    <w:rsid w:val="00732B87"/>
    <w:rsid w:val="00762AF7"/>
    <w:rsid w:val="007B4A46"/>
    <w:rsid w:val="007D76D5"/>
    <w:rsid w:val="007F1FFA"/>
    <w:rsid w:val="00802C4C"/>
    <w:rsid w:val="00831B1A"/>
    <w:rsid w:val="009317DD"/>
    <w:rsid w:val="00976542"/>
    <w:rsid w:val="00984B13"/>
    <w:rsid w:val="009A73E2"/>
    <w:rsid w:val="00A2411C"/>
    <w:rsid w:val="00A42DE7"/>
    <w:rsid w:val="00A5341C"/>
    <w:rsid w:val="00A678AD"/>
    <w:rsid w:val="00AB6263"/>
    <w:rsid w:val="00AE6172"/>
    <w:rsid w:val="00B23846"/>
    <w:rsid w:val="00B36496"/>
    <w:rsid w:val="00B62A27"/>
    <w:rsid w:val="00B8141D"/>
    <w:rsid w:val="00C25E75"/>
    <w:rsid w:val="00D16F2D"/>
    <w:rsid w:val="00D368EF"/>
    <w:rsid w:val="00D907CC"/>
    <w:rsid w:val="00DF7C13"/>
    <w:rsid w:val="00E265A6"/>
    <w:rsid w:val="00E300E1"/>
    <w:rsid w:val="00E825EF"/>
    <w:rsid w:val="00E94B5F"/>
    <w:rsid w:val="00E96AD7"/>
    <w:rsid w:val="00ED768A"/>
    <w:rsid w:val="00EF313F"/>
    <w:rsid w:val="00F00A04"/>
    <w:rsid w:val="00F2272C"/>
    <w:rsid w:val="00F660B4"/>
    <w:rsid w:val="00F71A83"/>
    <w:rsid w:val="00F71E49"/>
    <w:rsid w:val="00FE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56D40B-8875-4EE9-8F1E-D33DD9B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976542"/>
    <w:pPr>
      <w:numPr>
        <w:numId w:val="3"/>
      </w:numPr>
      <w:spacing w:before="120" w:after="120"/>
      <w:ind w:left="720" w:hanging="720"/>
      <w:outlineLvl w:val="0"/>
    </w:pPr>
    <w:rPr>
      <w:rFonts w:ascii="Arial" w:hAnsi="Arial" w:cs="Arial"/>
      <w:kern w:val="28"/>
      <w:sz w:val="22"/>
      <w:szCs w:val="18"/>
    </w:rPr>
  </w:style>
  <w:style w:type="paragraph" w:styleId="Heading2">
    <w:name w:val="heading 2"/>
    <w:basedOn w:val="Heading1"/>
    <w:next w:val="Normal"/>
    <w:qFormat/>
    <w:rsid w:val="00494492"/>
    <w:pPr>
      <w:numPr>
        <w:numId w:val="0"/>
      </w:numPr>
      <w:ind w:left="720" w:hanging="720"/>
      <w:outlineLvl w:val="1"/>
    </w:pPr>
  </w:style>
  <w:style w:type="paragraph" w:styleId="Heading3">
    <w:name w:val="heading 3"/>
    <w:basedOn w:val="Normal"/>
    <w:next w:val="Normal"/>
    <w:qFormat/>
    <w:rsid w:val="00494492"/>
    <w:pPr>
      <w:numPr>
        <w:numId w:val="38"/>
      </w:numPr>
      <w:tabs>
        <w:tab w:val="left" w:pos="1080"/>
      </w:tabs>
      <w:spacing w:before="60" w:after="60"/>
      <w:outlineLvl w:val="2"/>
    </w:pPr>
    <w:rPr>
      <w:sz w:val="24"/>
    </w:rPr>
  </w:style>
  <w:style w:type="paragraph" w:styleId="Heading4">
    <w:name w:val="heading 4"/>
    <w:basedOn w:val="Normal"/>
    <w:next w:val="Normal"/>
    <w:qFormat/>
    <w:rsid w:val="00494492"/>
    <w:pPr>
      <w:numPr>
        <w:ilvl w:val="3"/>
        <w:numId w:val="2"/>
      </w:numPr>
      <w:tabs>
        <w:tab w:val="left" w:pos="720"/>
      </w:tabs>
      <w:overflowPunct w:val="0"/>
      <w:autoSpaceDE w:val="0"/>
      <w:autoSpaceDN w:val="0"/>
      <w:adjustRightInd w:val="0"/>
      <w:spacing w:before="60" w:after="60"/>
      <w:ind w:left="720" w:hanging="540"/>
      <w:textAlignment w:val="baseline"/>
      <w:outlineLvl w:val="3"/>
    </w:pPr>
    <w:rPr>
      <w:rFonts w:ascii="Arial" w:hAnsi="Arial" w:cs="Arial"/>
      <w:sz w:val="22"/>
      <w:szCs w:val="18"/>
    </w:rPr>
  </w:style>
  <w:style w:type="paragraph" w:styleId="Heading5">
    <w:name w:val="heading 5"/>
    <w:basedOn w:val="Normal"/>
    <w:next w:val="Normal"/>
    <w:qFormat/>
    <w:rsid w:val="00976542"/>
    <w:pPr>
      <w:numPr>
        <w:ilvl w:val="4"/>
        <w:numId w:val="3"/>
      </w:numPr>
      <w:tabs>
        <w:tab w:val="clear" w:pos="2160"/>
        <w:tab w:val="left" w:pos="1260"/>
      </w:tabs>
      <w:spacing w:before="60" w:after="60"/>
      <w:ind w:left="1260" w:hanging="540"/>
      <w:outlineLvl w:val="4"/>
    </w:pPr>
    <w:rPr>
      <w:rFonts w:ascii="Arial" w:hAnsi="Arial" w:cs="Arial"/>
      <w:sz w:val="22"/>
      <w:szCs w:val="18"/>
    </w:rPr>
  </w:style>
  <w:style w:type="paragraph" w:styleId="Heading6">
    <w:name w:val="heading 6"/>
    <w:basedOn w:val="Normal"/>
    <w:next w:val="Normal"/>
    <w:qFormat/>
    <w:pPr>
      <w:numPr>
        <w:ilvl w:val="5"/>
        <w:numId w:val="3"/>
      </w:numPr>
      <w:spacing w:before="60" w:after="60"/>
      <w:outlineLvl w:val="5"/>
    </w:p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rPr>
  </w:style>
  <w:style w:type="character" w:styleId="PageNumber">
    <w:name w:val="page number"/>
    <w:basedOn w:val="DefaultParagraphFont"/>
  </w:style>
  <w:style w:type="character" w:customStyle="1" w:styleId="Heading5Char">
    <w:name w:val="Heading 5 Char"/>
    <w:rPr>
      <w:noProof w:val="0"/>
      <w:lang w:val="en-US" w:eastAsia="en-US" w:bidi="ar-SA"/>
    </w:rPr>
  </w:style>
  <w:style w:type="character" w:customStyle="1" w:styleId="FooterChar">
    <w:name w:val="Footer Char"/>
    <w:basedOn w:val="DefaultParagraphFont"/>
    <w:link w:val="Footer"/>
    <w:rsid w:val="00045F8A"/>
  </w:style>
  <w:style w:type="paragraph" w:customStyle="1" w:styleId="STFooter">
    <w:name w:val="STFooter"/>
    <w:basedOn w:val="Normal"/>
    <w:rsid w:val="00045F8A"/>
    <w:pPr>
      <w:widowControl w:val="0"/>
      <w:tabs>
        <w:tab w:val="center" w:pos="4680"/>
        <w:tab w:val="right" w:pos="9360"/>
      </w:tabs>
    </w:pPr>
    <w:rPr>
      <w:snapToGrid w:val="0"/>
      <w:sz w:val="22"/>
    </w:rPr>
  </w:style>
  <w:style w:type="character" w:customStyle="1" w:styleId="HeaderChar">
    <w:name w:val="Header Char"/>
    <w:link w:val="Header"/>
    <w:uiPriority w:val="99"/>
    <w:rsid w:val="0097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 Engineers &amp; Consultants</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creator>Jed Stever</dc:creator>
  <cp:lastModifiedBy>Harwell, Austin T</cp:lastModifiedBy>
  <cp:revision>3</cp:revision>
  <cp:lastPrinted>2013-01-22T20:54:00Z</cp:lastPrinted>
  <dcterms:created xsi:type="dcterms:W3CDTF">2016-01-29T15:43:00Z</dcterms:created>
  <dcterms:modified xsi:type="dcterms:W3CDTF">2019-02-14T14:40:00Z</dcterms:modified>
</cp:coreProperties>
</file>